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D1D2" w14:textId="31F4F662" w:rsidR="00B45133" w:rsidRDefault="00ED2492" w:rsidP="00F03936">
      <w:pPr>
        <w:bidi w:val="0"/>
        <w:spacing w:line="360" w:lineRule="auto"/>
        <w:ind w:right="78"/>
        <w:jc w:val="both"/>
        <w:rPr>
          <w:rFonts w:asciiTheme="majorBidi" w:hAnsiTheme="majorBidi" w:cstheme="majorBidi"/>
          <w:b/>
          <w:bCs/>
          <w:sz w:val="24"/>
          <w:szCs w:val="24"/>
        </w:rPr>
      </w:pPr>
      <w:r>
        <w:rPr>
          <w:rFonts w:asciiTheme="majorBidi" w:hAnsiTheme="majorBidi" w:cstheme="majorBidi"/>
          <w:b/>
          <w:bCs/>
          <w:sz w:val="24"/>
          <w:szCs w:val="24"/>
        </w:rPr>
        <w:t xml:space="preserve">Enhanced Hepatotoxicity after </w:t>
      </w:r>
      <w:r w:rsidRPr="00ED2492">
        <w:rPr>
          <w:rFonts w:asciiTheme="majorBidi" w:hAnsiTheme="majorBidi" w:cstheme="majorBidi"/>
          <w:b/>
          <w:bCs/>
          <w:sz w:val="24"/>
          <w:szCs w:val="24"/>
        </w:rPr>
        <w:t>Furan and Cadmium</w:t>
      </w:r>
      <w:r>
        <w:rPr>
          <w:rFonts w:asciiTheme="majorBidi" w:hAnsiTheme="majorBidi" w:cstheme="majorBidi"/>
          <w:b/>
          <w:bCs/>
          <w:sz w:val="24"/>
          <w:szCs w:val="24"/>
        </w:rPr>
        <w:t xml:space="preserve"> Co-exposure in Rats: Involvement of Oxidative Stress and Apoptotic Cascades</w:t>
      </w:r>
    </w:p>
    <w:p w14:paraId="2982EE7D" w14:textId="77777777" w:rsidR="00F03936" w:rsidRPr="00E33BE6" w:rsidRDefault="00F03936" w:rsidP="00F03936">
      <w:pPr>
        <w:bidi w:val="0"/>
        <w:spacing w:line="360" w:lineRule="auto"/>
        <w:ind w:right="78"/>
        <w:jc w:val="both"/>
        <w:rPr>
          <w:rFonts w:asciiTheme="majorBidi" w:hAnsiTheme="majorBidi" w:cstheme="majorBidi"/>
          <w:sz w:val="24"/>
          <w:szCs w:val="24"/>
        </w:rPr>
      </w:pPr>
      <w:r w:rsidRPr="00E33BE6">
        <w:rPr>
          <w:rFonts w:asciiTheme="majorBidi" w:hAnsiTheme="majorBidi" w:cstheme="majorBidi"/>
          <w:sz w:val="24"/>
          <w:szCs w:val="24"/>
        </w:rPr>
        <w:t>Shrouk Amer</w:t>
      </w:r>
      <w:r w:rsidRPr="00E33BE6">
        <w:rPr>
          <w:rFonts w:asciiTheme="majorBidi" w:hAnsiTheme="majorBidi" w:cstheme="majorBidi"/>
          <w:sz w:val="24"/>
          <w:szCs w:val="24"/>
          <w:vertAlign w:val="superscript"/>
        </w:rPr>
        <w:t>1</w:t>
      </w:r>
      <w:r w:rsidRPr="00E33BE6">
        <w:rPr>
          <w:rFonts w:asciiTheme="majorBidi" w:hAnsiTheme="majorBidi" w:cstheme="majorBidi"/>
          <w:sz w:val="24"/>
          <w:szCs w:val="24"/>
        </w:rPr>
        <w:t>, Ragab Elshawarby</w:t>
      </w:r>
      <w:r w:rsidRPr="00E33BE6">
        <w:rPr>
          <w:rFonts w:asciiTheme="majorBidi" w:hAnsiTheme="majorBidi" w:cstheme="majorBidi"/>
          <w:sz w:val="24"/>
          <w:szCs w:val="24"/>
          <w:vertAlign w:val="superscript"/>
        </w:rPr>
        <w:t>1</w:t>
      </w:r>
      <w:r w:rsidRPr="00E33BE6">
        <w:rPr>
          <w:rFonts w:asciiTheme="majorBidi" w:hAnsiTheme="majorBidi" w:cstheme="majorBidi"/>
          <w:sz w:val="24"/>
          <w:szCs w:val="24"/>
        </w:rPr>
        <w:t>, Nabila M. Abdelaleem</w:t>
      </w:r>
      <w:r w:rsidRPr="00E33BE6">
        <w:rPr>
          <w:rFonts w:asciiTheme="majorBidi" w:hAnsiTheme="majorBidi" w:cstheme="majorBidi"/>
          <w:sz w:val="24"/>
          <w:szCs w:val="24"/>
          <w:vertAlign w:val="superscript"/>
        </w:rPr>
        <w:t>1</w:t>
      </w:r>
      <w:r w:rsidRPr="00E33BE6">
        <w:rPr>
          <w:rFonts w:asciiTheme="majorBidi" w:hAnsiTheme="majorBidi" w:cstheme="majorBidi"/>
          <w:sz w:val="24"/>
          <w:szCs w:val="24"/>
        </w:rPr>
        <w:t>, Elham Elshewy</w:t>
      </w:r>
      <w:r w:rsidRPr="00E33BE6">
        <w:rPr>
          <w:rFonts w:asciiTheme="majorBidi" w:hAnsiTheme="majorBidi" w:cstheme="majorBidi"/>
          <w:sz w:val="24"/>
          <w:szCs w:val="24"/>
          <w:vertAlign w:val="superscript"/>
        </w:rPr>
        <w:t>1</w:t>
      </w:r>
      <w:r w:rsidRPr="00E33BE6">
        <w:rPr>
          <w:rFonts w:asciiTheme="majorBidi" w:hAnsiTheme="majorBidi" w:cstheme="majorBidi"/>
          <w:sz w:val="24"/>
          <w:szCs w:val="24"/>
        </w:rPr>
        <w:t>, Afaf Abdelkader</w:t>
      </w:r>
      <w:r w:rsidRPr="00E33BE6">
        <w:rPr>
          <w:rFonts w:asciiTheme="majorBidi" w:hAnsiTheme="majorBidi" w:cstheme="majorBidi"/>
          <w:sz w:val="24"/>
          <w:szCs w:val="24"/>
          <w:vertAlign w:val="superscript"/>
        </w:rPr>
        <w:t>2</w:t>
      </w:r>
      <w:r w:rsidRPr="00E33BE6">
        <w:rPr>
          <w:rFonts w:asciiTheme="majorBidi" w:hAnsiTheme="majorBidi" w:cstheme="majorBidi"/>
          <w:sz w:val="24"/>
          <w:szCs w:val="24"/>
        </w:rPr>
        <w:t>, Ahmed B. Zaid</w:t>
      </w:r>
      <w:r w:rsidRPr="00E33BE6">
        <w:rPr>
          <w:rFonts w:asciiTheme="majorBidi" w:hAnsiTheme="majorBidi" w:cstheme="majorBidi"/>
          <w:sz w:val="24"/>
          <w:szCs w:val="24"/>
          <w:vertAlign w:val="superscript"/>
        </w:rPr>
        <w:t>3</w:t>
      </w:r>
      <w:r w:rsidRPr="00E33BE6">
        <w:rPr>
          <w:rFonts w:asciiTheme="majorBidi" w:hAnsiTheme="majorBidi" w:cstheme="majorBidi"/>
          <w:sz w:val="24"/>
          <w:szCs w:val="24"/>
        </w:rPr>
        <w:t>, Ahmed Abdeen</w:t>
      </w:r>
      <w:r w:rsidRPr="00E33BE6">
        <w:rPr>
          <w:rFonts w:asciiTheme="majorBidi" w:hAnsiTheme="majorBidi" w:cstheme="majorBidi"/>
          <w:sz w:val="24"/>
          <w:szCs w:val="24"/>
          <w:vertAlign w:val="superscript"/>
        </w:rPr>
        <w:t>1</w:t>
      </w:r>
      <w:r w:rsidRPr="00E33BE6">
        <w:rPr>
          <w:rFonts w:asciiTheme="majorBidi" w:hAnsiTheme="majorBidi" w:cstheme="majorBidi"/>
          <w:sz w:val="24"/>
          <w:szCs w:val="24"/>
        </w:rPr>
        <w:t>*</w:t>
      </w:r>
    </w:p>
    <w:p w14:paraId="1F03FD8A" w14:textId="77777777" w:rsidR="00F03936" w:rsidRPr="00E33BE6" w:rsidRDefault="00F03936" w:rsidP="00F03936">
      <w:pPr>
        <w:bidi w:val="0"/>
        <w:spacing w:after="0" w:line="360" w:lineRule="auto"/>
        <w:ind w:right="78"/>
        <w:rPr>
          <w:rFonts w:asciiTheme="majorBidi" w:hAnsiTheme="majorBidi" w:cstheme="majorBidi"/>
          <w:color w:val="000000" w:themeColor="text1"/>
          <w:sz w:val="24"/>
          <w:szCs w:val="24"/>
        </w:rPr>
      </w:pPr>
      <w:r w:rsidRPr="00E33BE6">
        <w:rPr>
          <w:rFonts w:asciiTheme="majorBidi" w:hAnsiTheme="majorBidi" w:cstheme="majorBidi"/>
          <w:sz w:val="24"/>
          <w:szCs w:val="24"/>
          <w:vertAlign w:val="superscript"/>
        </w:rPr>
        <w:t>1</w:t>
      </w:r>
      <w:r w:rsidRPr="00E33BE6">
        <w:rPr>
          <w:rFonts w:asciiTheme="majorBidi" w:hAnsiTheme="majorBidi" w:cstheme="majorBidi"/>
          <w:sz w:val="24"/>
          <w:szCs w:val="24"/>
        </w:rPr>
        <w:t xml:space="preserve">Department of Forensic Medicine and Toxicology, Faculty of Veterinary Medicine, </w:t>
      </w:r>
      <w:proofErr w:type="spellStart"/>
      <w:r w:rsidRPr="00E33BE6">
        <w:rPr>
          <w:rFonts w:asciiTheme="majorBidi" w:hAnsiTheme="majorBidi" w:cstheme="majorBidi"/>
          <w:sz w:val="24"/>
          <w:szCs w:val="24"/>
        </w:rPr>
        <w:t>Benha</w:t>
      </w:r>
      <w:proofErr w:type="spellEnd"/>
      <w:r w:rsidRPr="00E33BE6">
        <w:rPr>
          <w:rFonts w:asciiTheme="majorBidi" w:hAnsiTheme="majorBidi" w:cstheme="majorBidi"/>
          <w:sz w:val="24"/>
          <w:szCs w:val="24"/>
        </w:rPr>
        <w:t xml:space="preserve"> University, </w:t>
      </w:r>
      <w:proofErr w:type="spellStart"/>
      <w:r w:rsidRPr="00E33BE6">
        <w:rPr>
          <w:rFonts w:asciiTheme="majorBidi" w:hAnsiTheme="majorBidi" w:cstheme="majorBidi"/>
          <w:sz w:val="24"/>
          <w:szCs w:val="24"/>
        </w:rPr>
        <w:t>Toukh</w:t>
      </w:r>
      <w:proofErr w:type="spellEnd"/>
      <w:r w:rsidRPr="00E33BE6">
        <w:rPr>
          <w:rFonts w:asciiTheme="majorBidi" w:hAnsiTheme="majorBidi" w:cstheme="majorBidi"/>
          <w:sz w:val="24"/>
          <w:szCs w:val="24"/>
        </w:rPr>
        <w:t xml:space="preserve"> 13736, Egypt;</w:t>
      </w:r>
      <w:r w:rsidRPr="00E33BE6">
        <w:t xml:space="preserve"> </w:t>
      </w:r>
      <w:r w:rsidRPr="00E33BE6">
        <w:rPr>
          <w:rFonts w:asciiTheme="majorBidi" w:hAnsiTheme="majorBidi" w:cstheme="majorBidi"/>
          <w:color w:val="000000" w:themeColor="text1"/>
          <w:sz w:val="24"/>
          <w:szCs w:val="24"/>
        </w:rPr>
        <w:t xml:space="preserve">(SA) </w:t>
      </w:r>
      <w:hyperlink r:id="rId6" w:history="1">
        <w:r w:rsidRPr="00E33BE6">
          <w:rPr>
            <w:rStyle w:val="Hyperlink"/>
            <w:rFonts w:asciiTheme="majorBidi" w:hAnsiTheme="majorBidi" w:cstheme="majorBidi"/>
            <w:sz w:val="24"/>
            <w:szCs w:val="24"/>
          </w:rPr>
          <w:t>Shrouk.azat@fvtm.bu.edu.eg</w:t>
        </w:r>
        <w:r w:rsidRPr="00D07D6A">
          <w:rPr>
            <w:rStyle w:val="Hyperlink"/>
            <w:rFonts w:asciiTheme="majorBidi" w:hAnsiTheme="majorBidi" w:cstheme="majorBidi"/>
            <w:color w:val="000000" w:themeColor="text1"/>
            <w:sz w:val="24"/>
            <w:szCs w:val="24"/>
            <w:u w:val="none"/>
          </w:rPr>
          <w:t>; (RE)</w:t>
        </w:r>
      </w:hyperlink>
      <w:r w:rsidRPr="00E33BE6">
        <w:rPr>
          <w:rFonts w:asciiTheme="majorBidi" w:hAnsiTheme="majorBidi" w:cstheme="majorBidi"/>
          <w:sz w:val="24"/>
          <w:szCs w:val="24"/>
        </w:rPr>
        <w:t xml:space="preserve"> </w:t>
      </w:r>
      <w:hyperlink r:id="rId7" w:history="1">
        <w:r w:rsidRPr="00E33BE6">
          <w:rPr>
            <w:rStyle w:val="Hyperlink"/>
            <w:rFonts w:asciiTheme="majorBidi" w:hAnsiTheme="majorBidi" w:cstheme="majorBidi"/>
            <w:sz w:val="24"/>
            <w:szCs w:val="24"/>
          </w:rPr>
          <w:t>RAGAB.ALSHAWARIBY@fvtm.bu.edu.eg</w:t>
        </w:r>
      </w:hyperlink>
      <w:r w:rsidRPr="00E33BE6">
        <w:rPr>
          <w:rFonts w:asciiTheme="majorBidi" w:hAnsiTheme="majorBidi" w:cstheme="majorBidi"/>
          <w:color w:val="000000" w:themeColor="text1"/>
          <w:sz w:val="24"/>
          <w:szCs w:val="24"/>
          <w:u w:val="single"/>
        </w:rPr>
        <w:t>;</w:t>
      </w:r>
      <w:r w:rsidRPr="00E33BE6">
        <w:rPr>
          <w:rFonts w:asciiTheme="majorBidi" w:hAnsiTheme="majorBidi" w:cstheme="majorBidi"/>
          <w:color w:val="000000" w:themeColor="text1"/>
          <w:sz w:val="24"/>
          <w:szCs w:val="24"/>
        </w:rPr>
        <w:t>(NA)</w:t>
      </w:r>
      <w:r w:rsidRPr="00E33BE6">
        <w:rPr>
          <w:color w:val="000000" w:themeColor="text1"/>
        </w:rPr>
        <w:t xml:space="preserve"> </w:t>
      </w:r>
      <w:hyperlink r:id="rId8" w:history="1">
        <w:r w:rsidRPr="00E33BE6">
          <w:rPr>
            <w:rStyle w:val="Hyperlink"/>
            <w:rFonts w:asciiTheme="majorBidi" w:hAnsiTheme="majorBidi" w:cstheme="majorBidi"/>
            <w:sz w:val="24"/>
            <w:szCs w:val="24"/>
          </w:rPr>
          <w:t>NABILA.SALAM@fvtm.bu.edu.eg</w:t>
        </w:r>
        <w:r w:rsidRPr="00E33BE6">
          <w:rPr>
            <w:rStyle w:val="Hyperlink"/>
            <w:rFonts w:asciiTheme="majorBidi" w:hAnsiTheme="majorBidi" w:cstheme="majorBidi"/>
            <w:color w:val="000000" w:themeColor="text1"/>
            <w:sz w:val="24"/>
            <w:szCs w:val="24"/>
          </w:rPr>
          <w:t>;</w:t>
        </w:r>
        <w:r w:rsidRPr="00D07D6A">
          <w:rPr>
            <w:rStyle w:val="Hyperlink"/>
            <w:rFonts w:asciiTheme="majorBidi" w:hAnsiTheme="majorBidi" w:cstheme="majorBidi"/>
            <w:color w:val="000000" w:themeColor="text1"/>
            <w:sz w:val="24"/>
            <w:szCs w:val="24"/>
            <w:u w:val="none"/>
          </w:rPr>
          <w:t>(EL)</w:t>
        </w:r>
      </w:hyperlink>
      <w:r w:rsidRPr="00E33BE6">
        <w:rPr>
          <w:rFonts w:asciiTheme="majorBidi" w:hAnsiTheme="majorBidi" w:cstheme="majorBidi"/>
          <w:color w:val="0070C0"/>
          <w:sz w:val="24"/>
          <w:szCs w:val="24"/>
        </w:rPr>
        <w:t xml:space="preserve"> </w:t>
      </w:r>
      <w:hyperlink r:id="rId9" w:history="1">
        <w:r w:rsidRPr="00E33BE6">
          <w:rPr>
            <w:rStyle w:val="Hyperlink"/>
            <w:rFonts w:asciiTheme="majorBidi" w:hAnsiTheme="majorBidi" w:cstheme="majorBidi"/>
            <w:sz w:val="24"/>
            <w:szCs w:val="24"/>
          </w:rPr>
          <w:t>ELHAM.ALSHIWY@fvtm.bu.edu.eg</w:t>
        </w:r>
      </w:hyperlink>
      <w:r w:rsidRPr="00E33BE6">
        <w:rPr>
          <w:rFonts w:asciiTheme="majorBidi" w:hAnsiTheme="majorBidi" w:cstheme="majorBidi"/>
          <w:color w:val="000000" w:themeColor="text1"/>
          <w:sz w:val="24"/>
          <w:szCs w:val="24"/>
        </w:rPr>
        <w:t>;(AA)</w:t>
      </w:r>
      <w:r w:rsidRPr="00E33BE6">
        <w:t xml:space="preserve"> </w:t>
      </w:r>
      <w:hyperlink r:id="rId10" w:history="1">
        <w:r w:rsidRPr="00E33BE6">
          <w:rPr>
            <w:rStyle w:val="Hyperlink"/>
            <w:rFonts w:asciiTheme="majorBidi" w:hAnsiTheme="majorBidi" w:cstheme="majorBidi"/>
            <w:sz w:val="24"/>
            <w:szCs w:val="24"/>
          </w:rPr>
          <w:t>ahmed.abdeen@fvtm.bu.edu.eg</w:t>
        </w:r>
      </w:hyperlink>
    </w:p>
    <w:p w14:paraId="77225F96" w14:textId="77777777" w:rsidR="00F03936" w:rsidRPr="00E33BE6" w:rsidRDefault="00F03936" w:rsidP="00F03936">
      <w:pPr>
        <w:bidi w:val="0"/>
        <w:spacing w:after="0" w:line="360" w:lineRule="auto"/>
        <w:ind w:right="78"/>
        <w:jc w:val="both"/>
        <w:rPr>
          <w:rFonts w:asciiTheme="majorBidi" w:hAnsiTheme="majorBidi" w:cstheme="majorBidi"/>
          <w:color w:val="FF0000"/>
          <w:sz w:val="24"/>
          <w:szCs w:val="24"/>
          <w:vertAlign w:val="superscript"/>
        </w:rPr>
      </w:pPr>
      <w:r w:rsidRPr="00E33BE6">
        <w:rPr>
          <w:rFonts w:asciiTheme="majorBidi" w:hAnsiTheme="majorBidi" w:cstheme="majorBidi"/>
          <w:sz w:val="24"/>
          <w:szCs w:val="24"/>
          <w:vertAlign w:val="superscript"/>
        </w:rPr>
        <w:t>2</w:t>
      </w:r>
      <w:r w:rsidRPr="00E33BE6">
        <w:rPr>
          <w:rFonts w:asciiTheme="majorBidi" w:hAnsiTheme="majorBidi" w:cstheme="majorBidi"/>
          <w:sz w:val="24"/>
          <w:szCs w:val="24"/>
        </w:rPr>
        <w:t xml:space="preserve">Department of Forensic Medicine and Clinical Toxicology, Faculty of Medicine, </w:t>
      </w:r>
      <w:proofErr w:type="spellStart"/>
      <w:r w:rsidRPr="00E33BE6">
        <w:rPr>
          <w:rFonts w:asciiTheme="majorBidi" w:hAnsiTheme="majorBidi" w:cstheme="majorBidi"/>
          <w:sz w:val="24"/>
          <w:szCs w:val="24"/>
        </w:rPr>
        <w:t>Benha</w:t>
      </w:r>
      <w:proofErr w:type="spellEnd"/>
      <w:r w:rsidRPr="00E33BE6">
        <w:rPr>
          <w:rFonts w:asciiTheme="majorBidi" w:hAnsiTheme="majorBidi" w:cstheme="majorBidi"/>
          <w:sz w:val="24"/>
          <w:szCs w:val="24"/>
        </w:rPr>
        <w:t xml:space="preserve"> University, </w:t>
      </w:r>
      <w:proofErr w:type="spellStart"/>
      <w:r w:rsidRPr="00E33BE6">
        <w:rPr>
          <w:rFonts w:asciiTheme="majorBidi" w:hAnsiTheme="majorBidi" w:cstheme="majorBidi"/>
          <w:sz w:val="24"/>
          <w:szCs w:val="24"/>
        </w:rPr>
        <w:t>Benha</w:t>
      </w:r>
      <w:proofErr w:type="spellEnd"/>
      <w:r w:rsidRPr="00E33BE6">
        <w:rPr>
          <w:rFonts w:asciiTheme="majorBidi" w:hAnsiTheme="majorBidi" w:cstheme="majorBidi"/>
          <w:sz w:val="24"/>
          <w:szCs w:val="24"/>
        </w:rPr>
        <w:t xml:space="preserve"> 13518, Egypt; </w:t>
      </w:r>
      <w:hyperlink r:id="rId11" w:history="1">
        <w:r w:rsidRPr="00E33BE6">
          <w:rPr>
            <w:rStyle w:val="Hyperlink"/>
            <w:rFonts w:asciiTheme="majorBidi" w:hAnsiTheme="majorBidi" w:cstheme="majorBidi"/>
            <w:sz w:val="24"/>
            <w:szCs w:val="24"/>
          </w:rPr>
          <w:t>afaf.abdelkader@fmed.bu.edu.eg</w:t>
        </w:r>
      </w:hyperlink>
      <w:r w:rsidRPr="00E33BE6">
        <w:rPr>
          <w:rStyle w:val="Hyperlink"/>
          <w:rFonts w:asciiTheme="majorBidi" w:hAnsiTheme="majorBidi" w:cstheme="majorBidi"/>
          <w:color w:val="0066FF"/>
          <w:sz w:val="24"/>
          <w:szCs w:val="24"/>
        </w:rPr>
        <w:t xml:space="preserve"> </w:t>
      </w:r>
    </w:p>
    <w:p w14:paraId="7CB9F021" w14:textId="77777777" w:rsidR="00F03936" w:rsidRPr="00E33BE6" w:rsidRDefault="00F03936" w:rsidP="00F03936">
      <w:pPr>
        <w:bidi w:val="0"/>
        <w:spacing w:after="0" w:line="360" w:lineRule="auto"/>
        <w:ind w:right="78"/>
        <w:jc w:val="both"/>
        <w:rPr>
          <w:rFonts w:asciiTheme="majorBidi" w:hAnsiTheme="majorBidi" w:cstheme="majorBidi"/>
          <w:sz w:val="24"/>
          <w:szCs w:val="24"/>
          <w:rtl/>
        </w:rPr>
      </w:pPr>
      <w:r w:rsidRPr="00E33BE6">
        <w:rPr>
          <w:rFonts w:asciiTheme="majorBidi" w:hAnsiTheme="majorBidi" w:cstheme="majorBidi"/>
          <w:sz w:val="24"/>
          <w:szCs w:val="24"/>
          <w:vertAlign w:val="superscript"/>
        </w:rPr>
        <w:t>3</w:t>
      </w:r>
      <w:r w:rsidRPr="00E33BE6">
        <w:rPr>
          <w:rFonts w:asciiTheme="majorBidi" w:hAnsiTheme="majorBidi" w:cstheme="majorBidi"/>
          <w:sz w:val="24"/>
          <w:szCs w:val="24"/>
        </w:rPr>
        <w:t xml:space="preserve">Department of Clinical Pathology, National Liver Institute, Menoufia University, Shibin </w:t>
      </w:r>
      <w:proofErr w:type="spellStart"/>
      <w:r w:rsidRPr="00E33BE6">
        <w:rPr>
          <w:rFonts w:asciiTheme="majorBidi" w:hAnsiTheme="majorBidi" w:cstheme="majorBidi"/>
          <w:sz w:val="24"/>
          <w:szCs w:val="24"/>
        </w:rPr>
        <w:t>Elkom</w:t>
      </w:r>
      <w:proofErr w:type="spellEnd"/>
      <w:r w:rsidRPr="00E33BE6">
        <w:rPr>
          <w:rFonts w:asciiTheme="majorBidi" w:hAnsiTheme="majorBidi" w:cstheme="majorBidi"/>
          <w:sz w:val="24"/>
          <w:szCs w:val="24"/>
        </w:rPr>
        <w:t xml:space="preserve"> 32511, Egypt; </w:t>
      </w:r>
      <w:hyperlink r:id="rId12" w:history="1">
        <w:r w:rsidRPr="00E33BE6">
          <w:rPr>
            <w:rStyle w:val="Hyperlink"/>
            <w:rFonts w:asciiTheme="majorBidi" w:hAnsiTheme="majorBidi" w:cstheme="majorBidi"/>
            <w:sz w:val="24"/>
            <w:szCs w:val="24"/>
          </w:rPr>
          <w:t>ahmedzaid@liver.menofia.edu.eg</w:t>
        </w:r>
      </w:hyperlink>
      <w:r w:rsidRPr="00E33BE6">
        <w:rPr>
          <w:rFonts w:asciiTheme="majorBidi" w:hAnsiTheme="majorBidi" w:cstheme="majorBidi"/>
          <w:sz w:val="24"/>
          <w:szCs w:val="24"/>
        </w:rPr>
        <w:t xml:space="preserve"> </w:t>
      </w:r>
    </w:p>
    <w:p w14:paraId="043E1EE6" w14:textId="77777777" w:rsidR="00F03936" w:rsidRPr="00E33BE6" w:rsidRDefault="00F03936" w:rsidP="00F03936">
      <w:pPr>
        <w:tabs>
          <w:tab w:val="left" w:pos="6261"/>
        </w:tabs>
        <w:bidi w:val="0"/>
        <w:spacing w:before="120" w:after="0" w:line="360" w:lineRule="auto"/>
        <w:ind w:right="-483"/>
        <w:jc w:val="both"/>
        <w:rPr>
          <w:rFonts w:asciiTheme="majorBidi" w:hAnsiTheme="majorBidi" w:cstheme="majorBidi"/>
          <w:sz w:val="24"/>
          <w:szCs w:val="24"/>
        </w:rPr>
      </w:pPr>
      <w:r w:rsidRPr="00E33BE6">
        <w:rPr>
          <w:rFonts w:asciiTheme="majorBidi" w:hAnsiTheme="majorBidi" w:cstheme="majorBidi"/>
          <w:b/>
          <w:bCs/>
          <w:sz w:val="24"/>
          <w:szCs w:val="24"/>
        </w:rPr>
        <w:t xml:space="preserve">*Correspondence: </w:t>
      </w:r>
      <w:r w:rsidRPr="00E33BE6">
        <w:rPr>
          <w:rFonts w:asciiTheme="majorBidi" w:hAnsiTheme="majorBidi" w:cstheme="majorBidi"/>
          <w:sz w:val="24"/>
          <w:szCs w:val="24"/>
        </w:rPr>
        <w:t>Ahmed Abdeen (</w:t>
      </w:r>
      <w:hyperlink r:id="rId13" w:history="1">
        <w:r w:rsidRPr="00E33BE6">
          <w:rPr>
            <w:rStyle w:val="Hyperlink"/>
            <w:rFonts w:asciiTheme="majorBidi" w:hAnsiTheme="majorBidi" w:cstheme="majorBidi"/>
            <w:sz w:val="24"/>
            <w:szCs w:val="24"/>
          </w:rPr>
          <w:t>ahmed.abdeen@fvtm.bu.edu.eg</w:t>
        </w:r>
      </w:hyperlink>
      <w:r w:rsidRPr="00E33BE6">
        <w:rPr>
          <w:rFonts w:asciiTheme="majorBidi" w:hAnsiTheme="majorBidi" w:cstheme="majorBidi"/>
          <w:sz w:val="24"/>
          <w:szCs w:val="24"/>
        </w:rPr>
        <w:t>; Tel, +201000222986)</w:t>
      </w:r>
    </w:p>
    <w:p w14:paraId="79E5E046" w14:textId="77777777" w:rsidR="000E1B2B" w:rsidRDefault="000E1B2B" w:rsidP="00F03936">
      <w:pPr>
        <w:tabs>
          <w:tab w:val="right" w:pos="180"/>
        </w:tabs>
        <w:bidi w:val="0"/>
        <w:spacing w:line="360" w:lineRule="auto"/>
        <w:ind w:right="-514"/>
        <w:jc w:val="center"/>
        <w:rPr>
          <w:rFonts w:asciiTheme="majorBidi" w:hAnsiTheme="majorBidi" w:cstheme="majorBidi"/>
          <w:b/>
          <w:bCs/>
          <w:sz w:val="24"/>
          <w:szCs w:val="24"/>
        </w:rPr>
      </w:pPr>
    </w:p>
    <w:p w14:paraId="0A0790BA" w14:textId="77777777" w:rsidR="000E1B2B" w:rsidRDefault="000E1B2B" w:rsidP="000E1B2B">
      <w:pPr>
        <w:tabs>
          <w:tab w:val="right" w:pos="180"/>
        </w:tabs>
        <w:bidi w:val="0"/>
        <w:spacing w:line="360" w:lineRule="auto"/>
        <w:ind w:right="-514"/>
        <w:jc w:val="center"/>
        <w:rPr>
          <w:rFonts w:asciiTheme="majorBidi" w:hAnsiTheme="majorBidi" w:cstheme="majorBidi"/>
          <w:b/>
          <w:bCs/>
          <w:sz w:val="24"/>
          <w:szCs w:val="24"/>
        </w:rPr>
      </w:pPr>
    </w:p>
    <w:p w14:paraId="5ACC41C9" w14:textId="77777777" w:rsidR="000E1B2B" w:rsidRDefault="000E1B2B" w:rsidP="000E1B2B">
      <w:pPr>
        <w:tabs>
          <w:tab w:val="right" w:pos="180"/>
        </w:tabs>
        <w:bidi w:val="0"/>
        <w:spacing w:line="360" w:lineRule="auto"/>
        <w:ind w:right="-514"/>
        <w:jc w:val="center"/>
        <w:rPr>
          <w:rFonts w:asciiTheme="majorBidi" w:hAnsiTheme="majorBidi" w:cstheme="majorBidi"/>
          <w:b/>
          <w:bCs/>
          <w:sz w:val="24"/>
          <w:szCs w:val="24"/>
        </w:rPr>
      </w:pPr>
    </w:p>
    <w:p w14:paraId="60E237FD" w14:textId="77777777" w:rsidR="000E1B2B" w:rsidRDefault="000E1B2B" w:rsidP="000E1B2B">
      <w:pPr>
        <w:tabs>
          <w:tab w:val="right" w:pos="180"/>
        </w:tabs>
        <w:bidi w:val="0"/>
        <w:spacing w:line="360" w:lineRule="auto"/>
        <w:ind w:right="-514"/>
        <w:jc w:val="center"/>
        <w:rPr>
          <w:rFonts w:asciiTheme="majorBidi" w:hAnsiTheme="majorBidi" w:cstheme="majorBidi"/>
          <w:b/>
          <w:bCs/>
          <w:sz w:val="24"/>
          <w:szCs w:val="24"/>
        </w:rPr>
      </w:pPr>
    </w:p>
    <w:p w14:paraId="4B5958BF" w14:textId="77777777" w:rsidR="000E1B2B" w:rsidRDefault="000E1B2B" w:rsidP="000E1B2B">
      <w:pPr>
        <w:tabs>
          <w:tab w:val="right" w:pos="180"/>
        </w:tabs>
        <w:bidi w:val="0"/>
        <w:spacing w:line="360" w:lineRule="auto"/>
        <w:ind w:right="-514"/>
        <w:jc w:val="center"/>
        <w:rPr>
          <w:rFonts w:asciiTheme="majorBidi" w:hAnsiTheme="majorBidi" w:cstheme="majorBidi"/>
          <w:b/>
          <w:bCs/>
          <w:sz w:val="24"/>
          <w:szCs w:val="24"/>
        </w:rPr>
      </w:pPr>
    </w:p>
    <w:p w14:paraId="79E3C5F4" w14:textId="77777777" w:rsidR="000E1B2B" w:rsidRDefault="000E1B2B" w:rsidP="000E1B2B">
      <w:pPr>
        <w:tabs>
          <w:tab w:val="right" w:pos="180"/>
        </w:tabs>
        <w:bidi w:val="0"/>
        <w:spacing w:line="360" w:lineRule="auto"/>
        <w:ind w:right="-514"/>
        <w:jc w:val="center"/>
        <w:rPr>
          <w:rFonts w:asciiTheme="majorBidi" w:hAnsiTheme="majorBidi" w:cstheme="majorBidi"/>
          <w:b/>
          <w:bCs/>
          <w:sz w:val="24"/>
          <w:szCs w:val="24"/>
        </w:rPr>
      </w:pPr>
    </w:p>
    <w:p w14:paraId="629A2C42" w14:textId="77777777" w:rsidR="000E1B2B" w:rsidRDefault="000E1B2B" w:rsidP="000E1B2B">
      <w:pPr>
        <w:tabs>
          <w:tab w:val="right" w:pos="180"/>
        </w:tabs>
        <w:bidi w:val="0"/>
        <w:spacing w:line="360" w:lineRule="auto"/>
        <w:ind w:right="-514"/>
        <w:jc w:val="center"/>
        <w:rPr>
          <w:rFonts w:asciiTheme="majorBidi" w:hAnsiTheme="majorBidi" w:cstheme="majorBidi"/>
          <w:b/>
          <w:bCs/>
          <w:sz w:val="24"/>
          <w:szCs w:val="24"/>
        </w:rPr>
      </w:pPr>
    </w:p>
    <w:p w14:paraId="4ADAEA10" w14:textId="77777777" w:rsidR="000E1B2B" w:rsidRDefault="000E1B2B" w:rsidP="000E1B2B">
      <w:pPr>
        <w:tabs>
          <w:tab w:val="right" w:pos="180"/>
        </w:tabs>
        <w:bidi w:val="0"/>
        <w:spacing w:line="360" w:lineRule="auto"/>
        <w:ind w:right="-514"/>
        <w:jc w:val="center"/>
        <w:rPr>
          <w:rFonts w:asciiTheme="majorBidi" w:hAnsiTheme="majorBidi" w:cstheme="majorBidi"/>
          <w:b/>
          <w:bCs/>
          <w:sz w:val="24"/>
          <w:szCs w:val="24"/>
        </w:rPr>
      </w:pPr>
    </w:p>
    <w:p w14:paraId="7963CFE2" w14:textId="77777777" w:rsidR="000E1B2B" w:rsidRDefault="000E1B2B" w:rsidP="000E1B2B">
      <w:pPr>
        <w:tabs>
          <w:tab w:val="right" w:pos="180"/>
        </w:tabs>
        <w:bidi w:val="0"/>
        <w:spacing w:line="360" w:lineRule="auto"/>
        <w:ind w:right="-514"/>
        <w:jc w:val="center"/>
        <w:rPr>
          <w:rFonts w:asciiTheme="majorBidi" w:hAnsiTheme="majorBidi" w:cstheme="majorBidi"/>
          <w:b/>
          <w:bCs/>
          <w:sz w:val="24"/>
          <w:szCs w:val="24"/>
        </w:rPr>
      </w:pPr>
    </w:p>
    <w:p w14:paraId="0F9C6CB3" w14:textId="77777777" w:rsidR="000E1B2B" w:rsidRDefault="000E1B2B" w:rsidP="000E1B2B">
      <w:pPr>
        <w:tabs>
          <w:tab w:val="right" w:pos="180"/>
        </w:tabs>
        <w:bidi w:val="0"/>
        <w:spacing w:line="360" w:lineRule="auto"/>
        <w:ind w:right="-514"/>
        <w:jc w:val="center"/>
        <w:rPr>
          <w:rFonts w:asciiTheme="majorBidi" w:hAnsiTheme="majorBidi" w:cstheme="majorBidi"/>
          <w:b/>
          <w:bCs/>
          <w:sz w:val="24"/>
          <w:szCs w:val="24"/>
        </w:rPr>
      </w:pPr>
    </w:p>
    <w:p w14:paraId="6A90FC11" w14:textId="77777777" w:rsidR="000E1B2B" w:rsidRDefault="000E1B2B" w:rsidP="000E1B2B">
      <w:pPr>
        <w:tabs>
          <w:tab w:val="right" w:pos="180"/>
        </w:tabs>
        <w:bidi w:val="0"/>
        <w:spacing w:line="360" w:lineRule="auto"/>
        <w:ind w:right="-514"/>
        <w:jc w:val="center"/>
        <w:rPr>
          <w:rFonts w:asciiTheme="majorBidi" w:hAnsiTheme="majorBidi" w:cstheme="majorBidi"/>
          <w:b/>
          <w:bCs/>
          <w:sz w:val="24"/>
          <w:szCs w:val="24"/>
        </w:rPr>
      </w:pPr>
    </w:p>
    <w:p w14:paraId="5E34093D" w14:textId="6FDF74CE" w:rsidR="00F03936" w:rsidRPr="00E33BE6" w:rsidRDefault="00F03936" w:rsidP="000E1B2B">
      <w:pPr>
        <w:tabs>
          <w:tab w:val="right" w:pos="180"/>
        </w:tabs>
        <w:bidi w:val="0"/>
        <w:spacing w:line="360" w:lineRule="auto"/>
        <w:ind w:right="-514"/>
        <w:jc w:val="center"/>
        <w:rPr>
          <w:rFonts w:asciiTheme="majorBidi" w:hAnsiTheme="majorBidi" w:cstheme="majorBidi"/>
          <w:b/>
          <w:bCs/>
          <w:sz w:val="26"/>
          <w:szCs w:val="26"/>
        </w:rPr>
      </w:pPr>
      <w:r w:rsidRPr="00E33BE6">
        <w:rPr>
          <w:rFonts w:asciiTheme="majorBidi" w:hAnsiTheme="majorBidi" w:cstheme="majorBidi"/>
          <w:b/>
          <w:bCs/>
          <w:sz w:val="24"/>
          <w:szCs w:val="24"/>
        </w:rPr>
        <w:t xml:space="preserve"> </w:t>
      </w:r>
    </w:p>
    <w:p w14:paraId="2ECAE937" w14:textId="77777777" w:rsidR="00F03936" w:rsidRDefault="00F03936" w:rsidP="00F03936">
      <w:pPr>
        <w:bidi w:val="0"/>
        <w:spacing w:line="360" w:lineRule="auto"/>
        <w:jc w:val="both"/>
        <w:rPr>
          <w:rFonts w:asciiTheme="majorBidi" w:hAnsiTheme="majorBidi" w:cstheme="majorBidi"/>
          <w:b/>
          <w:bCs/>
          <w:sz w:val="24"/>
          <w:szCs w:val="24"/>
        </w:rPr>
      </w:pPr>
    </w:p>
    <w:p w14:paraId="47D2B220" w14:textId="24912E24" w:rsidR="006755FE" w:rsidRPr="006755FE" w:rsidRDefault="006755FE" w:rsidP="00B45133">
      <w:pPr>
        <w:tabs>
          <w:tab w:val="left" w:pos="6261"/>
        </w:tabs>
        <w:bidi w:val="0"/>
        <w:spacing w:line="360" w:lineRule="auto"/>
        <w:jc w:val="both"/>
        <w:rPr>
          <w:rFonts w:asciiTheme="majorBidi" w:hAnsiTheme="majorBidi" w:cstheme="majorBidi"/>
          <w:b/>
          <w:bCs/>
          <w:sz w:val="24"/>
          <w:szCs w:val="24"/>
        </w:rPr>
      </w:pPr>
      <w:r w:rsidRPr="006755FE">
        <w:rPr>
          <w:rFonts w:asciiTheme="majorBidi" w:hAnsiTheme="majorBidi" w:cstheme="majorBidi"/>
          <w:b/>
          <w:bCs/>
          <w:sz w:val="24"/>
          <w:szCs w:val="24"/>
        </w:rPr>
        <w:lastRenderedPageBreak/>
        <w:t>ABSTRACT</w:t>
      </w:r>
      <w:r>
        <w:rPr>
          <w:rFonts w:asciiTheme="majorBidi" w:hAnsiTheme="majorBidi" w:cstheme="majorBidi"/>
          <w:b/>
          <w:bCs/>
          <w:sz w:val="24"/>
          <w:szCs w:val="24"/>
        </w:rPr>
        <w:tab/>
      </w:r>
    </w:p>
    <w:p w14:paraId="0C14C0F5" w14:textId="77777777" w:rsidR="00D67FBD" w:rsidRPr="006755FE" w:rsidRDefault="00D67FBD" w:rsidP="00D67FBD">
      <w:pPr>
        <w:bidi w:val="0"/>
        <w:spacing w:line="360" w:lineRule="auto"/>
        <w:jc w:val="both"/>
        <w:rPr>
          <w:rFonts w:asciiTheme="majorBidi" w:hAnsiTheme="majorBidi" w:cstheme="majorBidi"/>
          <w:sz w:val="24"/>
          <w:szCs w:val="24"/>
        </w:rPr>
      </w:pPr>
      <w:r w:rsidRPr="006755FE">
        <w:rPr>
          <w:rFonts w:asciiTheme="majorBidi" w:hAnsiTheme="majorBidi" w:cstheme="majorBidi"/>
          <w:sz w:val="24"/>
          <w:szCs w:val="24"/>
        </w:rPr>
        <w:t xml:space="preserve">Furan (FU) and Cadmium (Cd) are toxic agents, and persistent exposure may harm both human and animal health. Therefore, we explored the effects of FU and Cd on liver of </w:t>
      </w:r>
      <w:r>
        <w:rPr>
          <w:rFonts w:asciiTheme="majorBidi" w:hAnsiTheme="majorBidi" w:cstheme="majorBidi"/>
          <w:sz w:val="24"/>
          <w:szCs w:val="24"/>
        </w:rPr>
        <w:t xml:space="preserve">the </w:t>
      </w:r>
      <w:r w:rsidRPr="006755FE">
        <w:rPr>
          <w:rFonts w:asciiTheme="majorBidi" w:hAnsiTheme="majorBidi" w:cstheme="majorBidi"/>
          <w:sz w:val="24"/>
          <w:szCs w:val="24"/>
        </w:rPr>
        <w:t xml:space="preserve">male rat. Male Wister rat groups are distributed randomly: control group (Cr-water): rats were given DI water; control oil group (Cr-oil): rats received corn oil; Furan group: rats received Furan (FU, 16 mg/kg) orally; Cd group: rats obtain cadmium (Cd, 2 mg/kg) orally; and FU+Cd group: rats given both FU +Cd. For 30 days, each therapy was administered once daily. Blood samples and hepatic tissues were obtained after all rats were euthanized. The outcomes showed that treatment with FU or Cd alone </w:t>
      </w:r>
      <w:bookmarkStart w:id="0" w:name="_Hlk151798640"/>
      <w:r w:rsidRPr="006755FE">
        <w:rPr>
          <w:rFonts w:asciiTheme="majorBidi" w:hAnsiTheme="majorBidi" w:cstheme="majorBidi"/>
          <w:sz w:val="24"/>
          <w:szCs w:val="24"/>
        </w:rPr>
        <w:t xml:space="preserve">considerably caused liver damage, evidenced by serum increase of AST, ALT, ALP, triglycerides, and cholesterol </w:t>
      </w:r>
      <w:bookmarkEnd w:id="0"/>
      <w:r w:rsidRPr="006755FE">
        <w:rPr>
          <w:rFonts w:asciiTheme="majorBidi" w:hAnsiTheme="majorBidi" w:cstheme="majorBidi"/>
          <w:sz w:val="24"/>
          <w:szCs w:val="24"/>
        </w:rPr>
        <w:t xml:space="preserve">as well as histological changes. </w:t>
      </w:r>
      <w:proofErr w:type="gramStart"/>
      <w:r w:rsidRPr="006755FE">
        <w:rPr>
          <w:rFonts w:asciiTheme="majorBidi" w:hAnsiTheme="majorBidi" w:cstheme="majorBidi"/>
          <w:sz w:val="24"/>
          <w:szCs w:val="24"/>
        </w:rPr>
        <w:t>Following FU or Cd exposure, there</w:t>
      </w:r>
      <w:proofErr w:type="gramEnd"/>
      <w:r w:rsidRPr="006755FE">
        <w:rPr>
          <w:rFonts w:asciiTheme="majorBidi" w:hAnsiTheme="majorBidi" w:cstheme="majorBidi"/>
          <w:sz w:val="24"/>
          <w:szCs w:val="24"/>
        </w:rPr>
        <w:t xml:space="preserve"> were significant reductions in CAT, GSH, and SOD contents, as well as increases in malondialdehyde along with upregulated expression of PCNA and TNF-α. In contrast, when FU and Cd were administered together potentiated each other and cause</w:t>
      </w:r>
      <w:r>
        <w:rPr>
          <w:rFonts w:asciiTheme="majorBidi" w:hAnsiTheme="majorBidi" w:cstheme="majorBidi"/>
          <w:sz w:val="24"/>
          <w:szCs w:val="24"/>
        </w:rPr>
        <w:t>d</w:t>
      </w:r>
      <w:r w:rsidRPr="006755FE">
        <w:rPr>
          <w:rFonts w:asciiTheme="majorBidi" w:hAnsiTheme="majorBidi" w:cstheme="majorBidi"/>
          <w:sz w:val="24"/>
          <w:szCs w:val="24"/>
        </w:rPr>
        <w:t xml:space="preserve"> more cellular damage in liver tissue. This study found that the primary modulator for enhancing FU and Cd toxicity when administered together was thought to be oxidative stress pathways.</w:t>
      </w:r>
    </w:p>
    <w:p w14:paraId="133B3C17" w14:textId="77777777" w:rsidR="00D67FBD" w:rsidRDefault="00D67FBD" w:rsidP="00D67FBD">
      <w:pPr>
        <w:bidi w:val="0"/>
        <w:spacing w:line="360" w:lineRule="auto"/>
        <w:jc w:val="both"/>
        <w:rPr>
          <w:rFonts w:asciiTheme="majorBidi" w:hAnsiTheme="majorBidi" w:cstheme="majorBidi"/>
          <w:b/>
          <w:bCs/>
          <w:sz w:val="24"/>
          <w:szCs w:val="24"/>
        </w:rPr>
      </w:pPr>
      <w:r w:rsidRPr="006755FE">
        <w:rPr>
          <w:rFonts w:asciiTheme="majorBidi" w:hAnsiTheme="majorBidi" w:cstheme="majorBidi"/>
          <w:b/>
          <w:bCs/>
          <w:sz w:val="24"/>
          <w:szCs w:val="24"/>
        </w:rPr>
        <w:t>Keywords:</w:t>
      </w:r>
      <w:r w:rsidRPr="006755FE">
        <w:rPr>
          <w:rFonts w:asciiTheme="majorBidi" w:hAnsiTheme="majorBidi" w:cstheme="majorBidi"/>
          <w:sz w:val="24"/>
          <w:szCs w:val="24"/>
        </w:rPr>
        <w:t xml:space="preserve"> oxidative stress; PCNA; combined toxicity; </w:t>
      </w:r>
      <w:r>
        <w:rPr>
          <w:rFonts w:asciiTheme="majorBidi" w:hAnsiTheme="majorBidi" w:cstheme="majorBidi"/>
          <w:sz w:val="24"/>
          <w:szCs w:val="24"/>
        </w:rPr>
        <w:t>TNF-α</w:t>
      </w:r>
    </w:p>
    <w:p w14:paraId="2678BDA3" w14:textId="77777777" w:rsidR="000E1B2B" w:rsidRDefault="000E1B2B" w:rsidP="000E1B2B">
      <w:pPr>
        <w:bidi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Highlights:</w:t>
      </w:r>
    </w:p>
    <w:p w14:paraId="010FE3EB" w14:textId="77777777" w:rsidR="000E1B2B" w:rsidRDefault="000E1B2B" w:rsidP="000E1B2B">
      <w:pPr>
        <w:pStyle w:val="ListParagraph"/>
        <w:numPr>
          <w:ilvl w:val="0"/>
          <w:numId w:val="2"/>
        </w:numPr>
        <w:bidi w:val="0"/>
        <w:spacing w:line="360" w:lineRule="auto"/>
        <w:jc w:val="both"/>
        <w:rPr>
          <w:rFonts w:asciiTheme="majorBidi" w:hAnsiTheme="majorBidi" w:cstheme="majorBidi"/>
          <w:b/>
          <w:bCs/>
          <w:sz w:val="24"/>
          <w:szCs w:val="24"/>
        </w:rPr>
      </w:pPr>
      <w:r w:rsidRPr="006755FE">
        <w:rPr>
          <w:rFonts w:asciiTheme="majorBidi" w:hAnsiTheme="majorBidi" w:cstheme="majorBidi"/>
          <w:sz w:val="24"/>
          <w:szCs w:val="24"/>
        </w:rPr>
        <w:t>FU and/or Cd</w:t>
      </w:r>
      <w:r>
        <w:rPr>
          <w:rFonts w:asciiTheme="majorBidi" w:hAnsiTheme="majorBidi" w:cstheme="majorBidi"/>
          <w:b/>
          <w:bCs/>
          <w:sz w:val="24"/>
          <w:szCs w:val="24"/>
        </w:rPr>
        <w:t xml:space="preserve"> </w:t>
      </w:r>
      <w:r w:rsidRPr="00C53333">
        <w:rPr>
          <w:rFonts w:asciiTheme="majorBidi" w:hAnsiTheme="majorBidi" w:cstheme="majorBidi"/>
          <w:sz w:val="24"/>
          <w:szCs w:val="24"/>
        </w:rPr>
        <w:t>induce</w:t>
      </w:r>
      <w:r>
        <w:rPr>
          <w:rFonts w:asciiTheme="majorBidi" w:hAnsiTheme="majorBidi" w:cstheme="majorBidi"/>
          <w:b/>
          <w:bCs/>
          <w:sz w:val="24"/>
          <w:szCs w:val="24"/>
        </w:rPr>
        <w:t xml:space="preserve"> </w:t>
      </w:r>
      <w:r>
        <w:rPr>
          <w:rFonts w:asciiTheme="majorBidi" w:hAnsiTheme="majorBidi" w:cstheme="majorBidi"/>
          <w:sz w:val="24"/>
          <w:szCs w:val="24"/>
        </w:rPr>
        <w:t>hepatotoxicity</w:t>
      </w:r>
      <w:r w:rsidRPr="006755FE">
        <w:rPr>
          <w:rFonts w:asciiTheme="majorBidi" w:hAnsiTheme="majorBidi" w:cstheme="majorBidi"/>
          <w:sz w:val="24"/>
          <w:szCs w:val="24"/>
        </w:rPr>
        <w:t>.</w:t>
      </w:r>
    </w:p>
    <w:p w14:paraId="59A76FB5" w14:textId="77777777" w:rsidR="000E1B2B" w:rsidRDefault="000E1B2B" w:rsidP="000E1B2B">
      <w:pPr>
        <w:pStyle w:val="ListParagraph"/>
        <w:numPr>
          <w:ilvl w:val="0"/>
          <w:numId w:val="2"/>
        </w:numPr>
        <w:bidi w:val="0"/>
        <w:spacing w:line="360" w:lineRule="auto"/>
        <w:jc w:val="both"/>
        <w:rPr>
          <w:rFonts w:asciiTheme="majorBidi" w:hAnsiTheme="majorBidi" w:cstheme="majorBidi"/>
          <w:sz w:val="24"/>
          <w:szCs w:val="24"/>
        </w:rPr>
      </w:pPr>
      <w:r w:rsidRPr="00D35401">
        <w:rPr>
          <w:rFonts w:asciiTheme="majorBidi" w:hAnsiTheme="majorBidi" w:cstheme="majorBidi"/>
          <w:sz w:val="24"/>
          <w:szCs w:val="24"/>
        </w:rPr>
        <w:t>Combined exposure to FU and Cd caused higher toxicities</w:t>
      </w:r>
      <w:r>
        <w:rPr>
          <w:rFonts w:asciiTheme="majorBidi" w:hAnsiTheme="majorBidi" w:cstheme="majorBidi"/>
          <w:sz w:val="24"/>
          <w:szCs w:val="24"/>
        </w:rPr>
        <w:t xml:space="preserve"> to liver tissue</w:t>
      </w:r>
      <w:r w:rsidRPr="00D35401">
        <w:rPr>
          <w:rFonts w:asciiTheme="majorBidi" w:hAnsiTheme="majorBidi" w:cstheme="majorBidi"/>
          <w:sz w:val="24"/>
          <w:szCs w:val="24"/>
        </w:rPr>
        <w:t xml:space="preserve"> than their individual exposure.</w:t>
      </w:r>
    </w:p>
    <w:p w14:paraId="07755B95" w14:textId="77777777" w:rsidR="000E1B2B" w:rsidRDefault="000E1B2B" w:rsidP="000E1B2B">
      <w:pPr>
        <w:pStyle w:val="ListParagraph"/>
        <w:numPr>
          <w:ilvl w:val="0"/>
          <w:numId w:val="2"/>
        </w:numPr>
        <w:bidi w:val="0"/>
        <w:spacing w:line="360" w:lineRule="auto"/>
        <w:jc w:val="both"/>
        <w:rPr>
          <w:rFonts w:asciiTheme="majorBidi" w:hAnsiTheme="majorBidi" w:cstheme="majorBidi"/>
          <w:sz w:val="24"/>
          <w:szCs w:val="24"/>
        </w:rPr>
      </w:pPr>
      <w:r>
        <w:rPr>
          <w:rFonts w:asciiTheme="majorBidi" w:hAnsiTheme="majorBidi" w:cstheme="majorBidi"/>
          <w:sz w:val="24"/>
          <w:szCs w:val="24"/>
        </w:rPr>
        <w:t>Oxidative stress and inflammatory damage are the main causes of potentiated toxicity.</w:t>
      </w:r>
    </w:p>
    <w:p w14:paraId="3C47267D" w14:textId="77777777" w:rsidR="000E1B2B" w:rsidRDefault="000E1B2B" w:rsidP="000E1B2B">
      <w:pPr>
        <w:bidi w:val="0"/>
        <w:spacing w:line="360" w:lineRule="auto"/>
        <w:jc w:val="both"/>
        <w:rPr>
          <w:rFonts w:asciiTheme="majorBidi" w:hAnsiTheme="majorBidi" w:cstheme="majorBidi"/>
          <w:sz w:val="24"/>
          <w:szCs w:val="24"/>
        </w:rPr>
      </w:pPr>
    </w:p>
    <w:p w14:paraId="209B2C15" w14:textId="77777777" w:rsidR="000E1B2B" w:rsidRDefault="000E1B2B" w:rsidP="000E1B2B">
      <w:pPr>
        <w:bidi w:val="0"/>
        <w:spacing w:line="360" w:lineRule="auto"/>
        <w:jc w:val="both"/>
        <w:rPr>
          <w:rFonts w:asciiTheme="majorBidi" w:hAnsiTheme="majorBidi" w:cstheme="majorBidi"/>
          <w:b/>
          <w:bCs/>
          <w:sz w:val="24"/>
          <w:szCs w:val="24"/>
        </w:rPr>
      </w:pPr>
    </w:p>
    <w:p w14:paraId="6BA260B0" w14:textId="77777777" w:rsidR="000E1B2B" w:rsidRDefault="000E1B2B" w:rsidP="000E1B2B">
      <w:pPr>
        <w:bidi w:val="0"/>
        <w:spacing w:line="360" w:lineRule="auto"/>
        <w:jc w:val="both"/>
        <w:rPr>
          <w:rFonts w:asciiTheme="majorBidi" w:hAnsiTheme="majorBidi" w:cstheme="majorBidi"/>
          <w:b/>
          <w:bCs/>
          <w:sz w:val="24"/>
          <w:szCs w:val="24"/>
        </w:rPr>
      </w:pPr>
    </w:p>
    <w:p w14:paraId="6FE15B95" w14:textId="77777777" w:rsidR="000E1B2B" w:rsidRDefault="000E1B2B" w:rsidP="000E1B2B">
      <w:pPr>
        <w:bidi w:val="0"/>
        <w:spacing w:line="360" w:lineRule="auto"/>
        <w:jc w:val="both"/>
        <w:rPr>
          <w:rFonts w:asciiTheme="majorBidi" w:hAnsiTheme="majorBidi" w:cstheme="majorBidi"/>
          <w:b/>
          <w:bCs/>
          <w:sz w:val="24"/>
          <w:szCs w:val="24"/>
        </w:rPr>
      </w:pPr>
    </w:p>
    <w:p w14:paraId="734CAAF7" w14:textId="77777777" w:rsidR="000E1B2B" w:rsidRDefault="000E1B2B" w:rsidP="000E1B2B">
      <w:pPr>
        <w:bidi w:val="0"/>
        <w:spacing w:line="360" w:lineRule="auto"/>
        <w:jc w:val="both"/>
        <w:rPr>
          <w:rFonts w:asciiTheme="majorBidi" w:hAnsiTheme="majorBidi" w:cstheme="majorBidi"/>
          <w:b/>
          <w:bCs/>
          <w:sz w:val="24"/>
          <w:szCs w:val="24"/>
        </w:rPr>
      </w:pPr>
    </w:p>
    <w:p w14:paraId="77DDCF4C" w14:textId="77777777" w:rsidR="000E1B2B" w:rsidRDefault="000E1B2B" w:rsidP="000E1B2B">
      <w:pPr>
        <w:bidi w:val="0"/>
        <w:spacing w:line="360" w:lineRule="auto"/>
        <w:jc w:val="both"/>
        <w:rPr>
          <w:rFonts w:asciiTheme="majorBidi" w:hAnsiTheme="majorBidi" w:cstheme="majorBidi"/>
          <w:b/>
          <w:bCs/>
          <w:sz w:val="24"/>
          <w:szCs w:val="24"/>
        </w:rPr>
      </w:pPr>
    </w:p>
    <w:p w14:paraId="2F0C7CD4" w14:textId="77777777" w:rsidR="000E1B2B" w:rsidRDefault="000E1B2B" w:rsidP="000E1B2B">
      <w:pPr>
        <w:bidi w:val="0"/>
        <w:spacing w:line="360" w:lineRule="auto"/>
        <w:jc w:val="both"/>
        <w:rPr>
          <w:rFonts w:asciiTheme="majorBidi" w:hAnsiTheme="majorBidi" w:cstheme="majorBidi"/>
          <w:b/>
          <w:bCs/>
          <w:sz w:val="24"/>
          <w:szCs w:val="24"/>
        </w:rPr>
      </w:pPr>
    </w:p>
    <w:p w14:paraId="13B5417E" w14:textId="77777777" w:rsidR="000E1B2B" w:rsidRDefault="000E1B2B" w:rsidP="000E1B2B">
      <w:pPr>
        <w:bidi w:val="0"/>
        <w:spacing w:line="360" w:lineRule="auto"/>
        <w:jc w:val="both"/>
        <w:rPr>
          <w:rFonts w:asciiTheme="majorBidi" w:hAnsiTheme="majorBidi" w:cstheme="majorBidi"/>
          <w:b/>
          <w:bCs/>
          <w:sz w:val="24"/>
          <w:szCs w:val="24"/>
        </w:rPr>
      </w:pPr>
    </w:p>
    <w:p w14:paraId="4E2DC695" w14:textId="77777777" w:rsidR="006755FE" w:rsidRPr="006755FE" w:rsidRDefault="006755FE" w:rsidP="00B45133">
      <w:pPr>
        <w:pStyle w:val="ListParagraph"/>
        <w:numPr>
          <w:ilvl w:val="0"/>
          <w:numId w:val="1"/>
        </w:numPr>
        <w:bidi w:val="0"/>
        <w:spacing w:line="360" w:lineRule="auto"/>
        <w:ind w:left="270" w:hanging="270"/>
        <w:jc w:val="both"/>
        <w:rPr>
          <w:rFonts w:asciiTheme="majorBidi" w:hAnsiTheme="majorBidi" w:cstheme="majorBidi"/>
          <w:b/>
          <w:bCs/>
          <w:sz w:val="24"/>
          <w:szCs w:val="24"/>
        </w:rPr>
      </w:pPr>
      <w:r w:rsidRPr="006755FE">
        <w:rPr>
          <w:rFonts w:asciiTheme="majorBidi" w:hAnsiTheme="majorBidi" w:cstheme="majorBidi"/>
          <w:b/>
          <w:bCs/>
          <w:sz w:val="24"/>
          <w:szCs w:val="24"/>
        </w:rPr>
        <w:lastRenderedPageBreak/>
        <w:t>INTRODUCTION</w:t>
      </w:r>
    </w:p>
    <w:p w14:paraId="4D282196" w14:textId="080BD2EC" w:rsidR="006755FE" w:rsidRPr="006755FE" w:rsidRDefault="006755FE" w:rsidP="00B45133">
      <w:pPr>
        <w:bidi w:val="0"/>
        <w:spacing w:after="0" w:line="360" w:lineRule="auto"/>
        <w:jc w:val="both"/>
        <w:rPr>
          <w:rFonts w:asciiTheme="majorBidi" w:hAnsiTheme="majorBidi" w:cstheme="majorBidi"/>
          <w:sz w:val="24"/>
          <w:szCs w:val="24"/>
        </w:rPr>
      </w:pPr>
      <w:r w:rsidRPr="006755FE">
        <w:rPr>
          <w:rFonts w:asciiTheme="majorBidi" w:hAnsiTheme="majorBidi" w:cstheme="majorBidi"/>
          <w:sz w:val="24"/>
          <w:szCs w:val="24"/>
        </w:rPr>
        <w:t xml:space="preserve">Furan (FU) is a volatile, colorless, lipophilic, and aromatic heterocyclic molecule. It is a common industrial thermal processing contaminant that may be found in many cooked or processed foods, such as baby meals that are canned or jarred. Furthermore, it is a part of tobacco smoke and a synthetic intermediate used to make fragrances, artificial medications, herbal treatments, and environmental toxins </w:t>
      </w:r>
      <w:r w:rsidRPr="00F03936">
        <w:rPr>
          <w:rFonts w:asciiTheme="majorBidi" w:hAnsiTheme="majorBidi" w:cstheme="majorBidi"/>
          <w:b/>
          <w:bCs/>
          <w:sz w:val="24"/>
          <w:szCs w:val="24"/>
        </w:rPr>
        <w:fldChar w:fldCharType="begin" w:fldLock="1"/>
      </w:r>
      <w:r w:rsidR="00F03936" w:rsidRPr="00F03936">
        <w:rPr>
          <w:rFonts w:asciiTheme="majorBidi" w:hAnsiTheme="majorBidi" w:cstheme="majorBidi"/>
          <w:b/>
          <w:bCs/>
          <w:sz w:val="24"/>
          <w:szCs w:val="24"/>
        </w:rPr>
        <w:instrText>ADDIN CSL_CITATION {"citationItems":[{"id":"ITEM-1","itemData":{"DOI":"10.1021/acs.jmedchem.8b00876","ISSN":"15204804","PMID":"30024747","abstract":"Oxygen heterocycles are the second most common type of heterocycles that appear as structural components of U.S. Food and Drug Administration (FDA) approved pharmaceuticals. Analysis of our database of drugs approved through 2017 reveals 311 distinct pharmaceuticals containing at least one oxygen heterocycle. Most prevalent among these are pyranoses, with furanoses, macrolactones, morpholines, and dioxolanes rounding off the top five. The main body of this Perspective is organized according to ring size, commencing with three- and four-membered rings and ending with macrocycles, polymers, and unusual oxygen-containing heterocycles. For each section, all oxygen heterocycle-containing drugs are presented along with a brief discussion about structural and drug application patterns. ©","author":[{"dropping-particle":"","family":"Delost","given":"Michael D.","non-dropping-particle":"","parse-names":false,"suffix":""},{"dropping-particle":"","family":"Smith","given":"David T.","non-dropping-particle":"","parse-names":false,"suffix":""},{"dropping-particle":"","family":"Anderson","given":"Benton J.","non-dropping-particle":"","parse-names":false,"suffix":""},{"dropping-particle":"","family":"Njardarson","given":"Jon T.","non-dropping-particle":"","parse-names":false,"suffix":""}],"container-title":"Journal of Medicinal Chemistry","id":"ITEM-1","issue":"24","issued":{"date-parts":[["2018"]]},"page":"10996-11020","title":"From Oxiranes to Oligomers: Architectures of U.S. FDA Approved Pharmaceuticals Containing Oxygen Heterocycles","type":"article-journal","volume":"61"},"uris":["http://www.mendeley.com/documents/?uuid=0a81a818-20d8-42b5-9759-7cc25d92040d","http://www.mendeley.com/documents/?uuid=8b02728b-6494-4e75-8d82-5d797b3be9da"]}],"mendeley":{"formattedCitation":"(Delost &lt;i&gt;et al.&lt;/i&gt;, 2018)","plainTextFormattedCitation":"(Delost et al., 2018)","previouslyFormattedCitation":"[1]"},"properties":{"noteIndex":0},"schema":"https://github.com/citation-style-language/schema/raw/master/csl-citation.json"}</w:instrText>
      </w:r>
      <w:r w:rsidRPr="00F03936">
        <w:rPr>
          <w:rFonts w:asciiTheme="majorBidi" w:hAnsiTheme="majorBidi" w:cstheme="majorBidi"/>
          <w:b/>
          <w:bCs/>
          <w:sz w:val="24"/>
          <w:szCs w:val="24"/>
        </w:rPr>
        <w:fldChar w:fldCharType="separate"/>
      </w:r>
      <w:r w:rsidR="00F03936" w:rsidRPr="00F03936">
        <w:rPr>
          <w:rFonts w:asciiTheme="majorBidi" w:hAnsiTheme="majorBidi" w:cstheme="majorBidi"/>
          <w:b/>
          <w:bCs/>
          <w:noProof/>
          <w:sz w:val="24"/>
          <w:szCs w:val="24"/>
        </w:rPr>
        <w:t xml:space="preserve">(Delost </w:t>
      </w:r>
      <w:r w:rsidR="00F03936" w:rsidRPr="00F03936">
        <w:rPr>
          <w:rFonts w:asciiTheme="majorBidi" w:hAnsiTheme="majorBidi" w:cstheme="majorBidi"/>
          <w:b/>
          <w:bCs/>
          <w:i/>
          <w:noProof/>
          <w:sz w:val="24"/>
          <w:szCs w:val="24"/>
        </w:rPr>
        <w:t>et al.</w:t>
      </w:r>
      <w:r w:rsidR="00F03936" w:rsidRPr="00F03936">
        <w:rPr>
          <w:rFonts w:asciiTheme="majorBidi" w:hAnsiTheme="majorBidi" w:cstheme="majorBidi"/>
          <w:b/>
          <w:bCs/>
          <w:noProof/>
          <w:sz w:val="24"/>
          <w:szCs w:val="24"/>
        </w:rPr>
        <w:t>, 2018)</w:t>
      </w:r>
      <w:r w:rsidRPr="00F03936">
        <w:rPr>
          <w:rFonts w:asciiTheme="majorBidi" w:hAnsiTheme="majorBidi" w:cstheme="majorBidi"/>
          <w:b/>
          <w:bCs/>
          <w:sz w:val="24"/>
          <w:szCs w:val="24"/>
        </w:rPr>
        <w:fldChar w:fldCharType="end"/>
      </w:r>
      <w:r w:rsidRPr="006755FE">
        <w:rPr>
          <w:rFonts w:asciiTheme="majorBidi" w:hAnsiTheme="majorBidi" w:cstheme="majorBidi"/>
          <w:sz w:val="24"/>
          <w:szCs w:val="24"/>
        </w:rPr>
        <w:t>. There has been evidence of FU in coffee variants, morning cereals, and baby food that contains meat</w:t>
      </w:r>
      <w:r w:rsidRPr="006755FE">
        <w:rPr>
          <w:rFonts w:asciiTheme="majorBidi" w:hAnsiTheme="majorBidi" w:cstheme="majorBidi"/>
          <w:b/>
          <w:bCs/>
          <w:sz w:val="24"/>
          <w:szCs w:val="24"/>
        </w:rPr>
        <w:t xml:space="preserve"> </w:t>
      </w:r>
      <w:r w:rsidRPr="00F03936">
        <w:rPr>
          <w:rFonts w:asciiTheme="majorBidi" w:hAnsiTheme="majorBidi" w:cstheme="majorBidi"/>
          <w:b/>
          <w:bCs/>
          <w:sz w:val="24"/>
          <w:szCs w:val="24"/>
        </w:rPr>
        <w:fldChar w:fldCharType="begin" w:fldLock="1"/>
      </w:r>
      <w:r w:rsidR="00F03936" w:rsidRPr="00F03936">
        <w:rPr>
          <w:rFonts w:asciiTheme="majorBidi" w:hAnsiTheme="majorBidi" w:cstheme="majorBidi"/>
          <w:b/>
          <w:bCs/>
          <w:sz w:val="24"/>
          <w:szCs w:val="24"/>
        </w:rPr>
        <w:instrText>ADDIN CSL_CITATION {"citationItems":[{"id":"ITEM-1","itemData":{"author":[{"dropping-particle":"","family":"Husøy","given":"Trine","non-dropping-particle":"","parse-names":false,"suffix":""},{"dropping-particle":"","family":"Arukwe","given":"Augustine","non-dropping-particle":"","parse-names":false,"suffix":""},{"dropping-particle":"","family":"Bindrup","given":"Mona-Lise","non-dropping-particle":"","parse-names":false,"suffix":""},{"dropping-particle":"","family":"Brantsæter","given":"Anne Lise","non-dropping-particle":"","parse-names":false,"suffix":""},{"dropping-particle":"","family":"Fæste","given":"Christiane Kruse","non-dropping-particle":"","parse-names":false,"suffix":""},{"dropping-particle":"","family":"Hetland","given":"Ragna Bogen","non-dropping-particle":"","parse-names":false,"suffix":""},{"dropping-particle":"","family":"Alexander","given":"Jan","non-dropping-particle":"","parse-names":false,"suffix":""},{"dropping-particle":"","family":"Amlund","given":"Heidi","non-dropping-particle":"","parse-names":false,"suffix":""},{"dropping-particle":"","family":"Dahl","given":"Knut Helkås","non-dropping-particle":"","parse-names":false,"suffix":""},{"dropping-particle":"","family":"Eriksen","given":"Gunnar Sundstøl","non-dropping-particle":"","parse-names":false,"suffix":""}],"container-title":"Eur J Nutr Food Safe","id":"ITEM-1","issued":{"date-parts":[["2019"]]},"page":"44-46","title":"Risk assessment of furan exposure in the Norwegian population","type":"article-journal","volume":"11"},"uris":["http://www.mendeley.com/documents/?uuid=4775a442-36e6-402a-a976-67d95ce59533","http://www.mendeley.com/documents/?uuid=a239ebb6-f5c0-4983-adbf-0d18c97bf5ee"]}],"mendeley":{"formattedCitation":"(Husøy &lt;i&gt;et al.&lt;/i&gt;, 2019)","plainTextFormattedCitation":"(Husøy et al., 2019)","previouslyFormattedCitation":"[2]"},"properties":{"noteIndex":0},"schema":"https://github.com/citation-style-language/schema/raw/master/csl-citation.json"}</w:instrText>
      </w:r>
      <w:r w:rsidRPr="00F03936">
        <w:rPr>
          <w:rFonts w:asciiTheme="majorBidi" w:hAnsiTheme="majorBidi" w:cstheme="majorBidi"/>
          <w:b/>
          <w:bCs/>
          <w:sz w:val="24"/>
          <w:szCs w:val="24"/>
        </w:rPr>
        <w:fldChar w:fldCharType="separate"/>
      </w:r>
      <w:r w:rsidR="00F03936" w:rsidRPr="00F03936">
        <w:rPr>
          <w:rFonts w:asciiTheme="majorBidi" w:hAnsiTheme="majorBidi" w:cstheme="majorBidi"/>
          <w:b/>
          <w:bCs/>
          <w:noProof/>
          <w:sz w:val="24"/>
          <w:szCs w:val="24"/>
        </w:rPr>
        <w:t xml:space="preserve">(Husøy </w:t>
      </w:r>
      <w:r w:rsidR="00F03936" w:rsidRPr="00F03936">
        <w:rPr>
          <w:rFonts w:asciiTheme="majorBidi" w:hAnsiTheme="majorBidi" w:cstheme="majorBidi"/>
          <w:b/>
          <w:bCs/>
          <w:i/>
          <w:noProof/>
          <w:sz w:val="24"/>
          <w:szCs w:val="24"/>
        </w:rPr>
        <w:t>et al.</w:t>
      </w:r>
      <w:r w:rsidR="00F03936" w:rsidRPr="00F03936">
        <w:rPr>
          <w:rFonts w:asciiTheme="majorBidi" w:hAnsiTheme="majorBidi" w:cstheme="majorBidi"/>
          <w:b/>
          <w:bCs/>
          <w:noProof/>
          <w:sz w:val="24"/>
          <w:szCs w:val="24"/>
        </w:rPr>
        <w:t>, 2019)</w:t>
      </w:r>
      <w:r w:rsidRPr="00F03936">
        <w:rPr>
          <w:rFonts w:asciiTheme="majorBidi" w:hAnsiTheme="majorBidi" w:cstheme="majorBidi"/>
          <w:b/>
          <w:bCs/>
          <w:sz w:val="24"/>
          <w:szCs w:val="24"/>
        </w:rPr>
        <w:fldChar w:fldCharType="end"/>
      </w:r>
      <w:r w:rsidRPr="006755FE">
        <w:rPr>
          <w:rFonts w:asciiTheme="majorBidi" w:hAnsiTheme="majorBidi" w:cstheme="majorBidi"/>
          <w:sz w:val="24"/>
          <w:szCs w:val="24"/>
        </w:rPr>
        <w:t xml:space="preserve"> at concentrations exceeding 100 parts per billion</w:t>
      </w:r>
      <w:r w:rsidRPr="006755FE">
        <w:rPr>
          <w:rFonts w:asciiTheme="majorBidi" w:hAnsiTheme="majorBidi" w:cstheme="majorBidi"/>
          <w:b/>
          <w:bCs/>
          <w:sz w:val="24"/>
          <w:szCs w:val="24"/>
        </w:rPr>
        <w:t xml:space="preserve"> </w:t>
      </w:r>
      <w:r w:rsidRPr="00F03936">
        <w:rPr>
          <w:rFonts w:asciiTheme="majorBidi" w:hAnsiTheme="majorBidi" w:cstheme="majorBidi"/>
          <w:b/>
          <w:bCs/>
          <w:sz w:val="24"/>
          <w:szCs w:val="24"/>
        </w:rPr>
        <w:fldChar w:fldCharType="begin" w:fldLock="1"/>
      </w:r>
      <w:r w:rsidR="00F03936" w:rsidRPr="00F03936">
        <w:rPr>
          <w:rFonts w:asciiTheme="majorBidi" w:hAnsiTheme="majorBidi" w:cstheme="majorBidi"/>
          <w:b/>
          <w:bCs/>
          <w:sz w:val="24"/>
          <w:szCs w:val="24"/>
        </w:rPr>
        <w:instrText>ADDIN CSL_CITATION {"citationItems":[{"id":"ITEM-1","itemData":{"author":[{"dropping-particle":"","family":"Kaya","given":"Emre","non-dropping-particle":"","parse-names":false,"suffix":""},{"dropping-particle":"","family":"Yılmaz","given":"Seval","non-dropping-particle":"","parse-names":false,"suffix":""},{"dropping-particle":"","family":"Ceribasi","given":"Songul","non-dropping-particle":"","parse-names":false,"suffix":""}],"container-title":"Journal of Veterinary Research","id":"ITEM-1","issue":"3","issued":{"date-parts":[["2019"]]},"page":"423","publisher":"De Gruyter","title":"Protective role of propolis on low and high dose furan-induced hepatotoxicity and oxidative stress in rats","type":"article-journal","volume":"63"},"uris":["http://www.mendeley.com/documents/?uuid=a4dcb7d2-6503-435b-87ca-8e6d2f25f922","http://www.mendeley.com/documents/?uuid=bed4a637-4fd6-4ea6-8f87-75fe3d982d24"]}],"mendeley":{"formattedCitation":"(Kaya, Yılmaz and Ceribasi, 2019a)","plainTextFormattedCitation":"(Kaya, Yılmaz and Ceribasi, 2019a)","previouslyFormattedCitation":"[3]"},"properties":{"noteIndex":0},"schema":"https://github.com/citation-style-language/schema/raw/master/csl-citation.json"}</w:instrText>
      </w:r>
      <w:r w:rsidRPr="00F03936">
        <w:rPr>
          <w:rFonts w:asciiTheme="majorBidi" w:hAnsiTheme="majorBidi" w:cstheme="majorBidi"/>
          <w:b/>
          <w:bCs/>
          <w:sz w:val="24"/>
          <w:szCs w:val="24"/>
        </w:rPr>
        <w:fldChar w:fldCharType="separate"/>
      </w:r>
      <w:r w:rsidR="00F03936" w:rsidRPr="00F03936">
        <w:rPr>
          <w:rFonts w:asciiTheme="majorBidi" w:hAnsiTheme="majorBidi" w:cstheme="majorBidi"/>
          <w:b/>
          <w:bCs/>
          <w:noProof/>
          <w:sz w:val="24"/>
          <w:szCs w:val="24"/>
        </w:rPr>
        <w:t xml:space="preserve">(Kaya </w:t>
      </w:r>
      <w:r w:rsidR="00F03936" w:rsidRPr="00F03936">
        <w:rPr>
          <w:rFonts w:asciiTheme="majorBidi" w:hAnsiTheme="majorBidi" w:cstheme="majorBidi"/>
          <w:b/>
          <w:bCs/>
          <w:i/>
          <w:iCs/>
          <w:noProof/>
          <w:sz w:val="24"/>
          <w:szCs w:val="24"/>
        </w:rPr>
        <w:t>et al</w:t>
      </w:r>
      <w:r w:rsidR="00F03936" w:rsidRPr="00F03936">
        <w:rPr>
          <w:rFonts w:asciiTheme="majorBidi" w:hAnsiTheme="majorBidi" w:cstheme="majorBidi"/>
          <w:b/>
          <w:bCs/>
          <w:noProof/>
          <w:sz w:val="24"/>
          <w:szCs w:val="24"/>
        </w:rPr>
        <w:t>., 2019a)</w:t>
      </w:r>
      <w:r w:rsidRPr="00F03936">
        <w:rPr>
          <w:rFonts w:asciiTheme="majorBidi" w:hAnsiTheme="majorBidi" w:cstheme="majorBidi"/>
          <w:b/>
          <w:bCs/>
          <w:sz w:val="24"/>
          <w:szCs w:val="24"/>
        </w:rPr>
        <w:fldChar w:fldCharType="end"/>
      </w:r>
      <w:r w:rsidRPr="006755FE">
        <w:rPr>
          <w:rFonts w:asciiTheme="majorBidi" w:hAnsiTheme="majorBidi" w:cstheme="majorBidi"/>
          <w:sz w:val="24"/>
          <w:szCs w:val="24"/>
        </w:rPr>
        <w:t>.</w:t>
      </w:r>
      <w:r w:rsidRPr="006755FE">
        <w:rPr>
          <w:rFonts w:asciiTheme="majorBidi" w:hAnsiTheme="majorBidi" w:cstheme="majorBidi"/>
          <w:b/>
          <w:bCs/>
          <w:sz w:val="24"/>
          <w:szCs w:val="24"/>
        </w:rPr>
        <w:t xml:space="preserve"> </w:t>
      </w:r>
      <w:r w:rsidRPr="006755FE">
        <w:rPr>
          <w:rFonts w:asciiTheme="majorBidi" w:hAnsiTheme="majorBidi" w:cstheme="majorBidi"/>
          <w:sz w:val="24"/>
          <w:szCs w:val="24"/>
        </w:rPr>
        <w:t>Previous studies found that FU adversely affects the biological systems of both humans and animals and causes a variety of cancers</w:t>
      </w:r>
      <w:r w:rsidRPr="006755FE">
        <w:rPr>
          <w:rFonts w:asciiTheme="majorBidi" w:hAnsiTheme="majorBidi" w:cstheme="majorBidi"/>
          <w:b/>
          <w:bCs/>
          <w:sz w:val="24"/>
          <w:szCs w:val="24"/>
        </w:rPr>
        <w:t xml:space="preserve"> </w:t>
      </w:r>
      <w:r w:rsidRPr="00F03936">
        <w:rPr>
          <w:rFonts w:asciiTheme="majorBidi" w:hAnsiTheme="majorBidi" w:cstheme="majorBidi"/>
          <w:b/>
          <w:bCs/>
          <w:sz w:val="24"/>
          <w:szCs w:val="24"/>
        </w:rPr>
        <w:fldChar w:fldCharType="begin" w:fldLock="1"/>
      </w:r>
      <w:r w:rsidR="00F03936" w:rsidRPr="00F03936">
        <w:rPr>
          <w:rFonts w:asciiTheme="majorBidi" w:hAnsiTheme="majorBidi" w:cstheme="majorBidi"/>
          <w:b/>
          <w:bCs/>
          <w:sz w:val="24"/>
          <w:szCs w:val="24"/>
        </w:rPr>
        <w:instrText>ADDIN CSL_CITATION {"citationItems":[{"id":"ITEM-1","itemData":{"ISSN":"0932-0067","author":[{"dropping-particle":"","family":"Uçar","given":"Semra","non-dropping-particle":"","parse-names":false,"suffix":""},{"dropping-particle":"","family":"Pandir","given":"Dilek","non-dropping-particle":"","parse-names":false,"suffix":""}],"container-title":"Archives of gynecology and obstetrics","id":"ITEM-1","issued":{"date-parts":[["2017"]]},"page":"1027-1037","publisher":"Springer","title":"Furan induced ovarian damage in non-diabetic and diabetic rats and cellular protective role of lycopene","type":"article-journal","volume":"296"},"uris":["http://www.mendeley.com/documents/?uuid=887c8188-a403-41c6-a961-2124448b0170","http://www.mendeley.com/documents/?uuid=c61ce2f0-fb16-443a-9bee-e8223da71ac4"]}],"mendeley":{"formattedCitation":"(Uçar and Pandir, 2017)","plainTextFormattedCitation":"(Uçar and Pandir, 2017)","previouslyFormattedCitation":"[4]"},"properties":{"noteIndex":0},"schema":"https://github.com/citation-style-language/schema/raw/master/csl-citation.json"}</w:instrText>
      </w:r>
      <w:r w:rsidRPr="00F03936">
        <w:rPr>
          <w:rFonts w:asciiTheme="majorBidi" w:hAnsiTheme="majorBidi" w:cstheme="majorBidi"/>
          <w:b/>
          <w:bCs/>
          <w:sz w:val="24"/>
          <w:szCs w:val="24"/>
        </w:rPr>
        <w:fldChar w:fldCharType="separate"/>
      </w:r>
      <w:r w:rsidR="00F03936" w:rsidRPr="00F03936">
        <w:rPr>
          <w:rFonts w:asciiTheme="majorBidi" w:hAnsiTheme="majorBidi" w:cstheme="majorBidi"/>
          <w:b/>
          <w:bCs/>
          <w:noProof/>
          <w:sz w:val="24"/>
          <w:szCs w:val="24"/>
        </w:rPr>
        <w:t>(Uçar and Pandir, 2017)</w:t>
      </w:r>
      <w:r w:rsidRPr="00F03936">
        <w:rPr>
          <w:rFonts w:asciiTheme="majorBidi" w:hAnsiTheme="majorBidi" w:cstheme="majorBidi"/>
          <w:b/>
          <w:bCs/>
          <w:sz w:val="24"/>
          <w:szCs w:val="24"/>
        </w:rPr>
        <w:fldChar w:fldCharType="end"/>
      </w:r>
      <w:r w:rsidRPr="006755FE">
        <w:rPr>
          <w:rFonts w:asciiTheme="majorBidi" w:hAnsiTheme="majorBidi" w:cstheme="majorBidi"/>
          <w:sz w:val="24"/>
          <w:szCs w:val="24"/>
        </w:rPr>
        <w:t xml:space="preserve">. FU can be absorbed through the gastrointestinal system, and its removal from the circulation is mostly the responsibility of the liver where it is metabolized by liver cytochrome P450 2E1-mediated ring opening that produces cis-2-butene-1,4-diol (BDA) </w:t>
      </w:r>
      <w:r w:rsidRPr="00F03936">
        <w:rPr>
          <w:rFonts w:asciiTheme="majorBidi" w:hAnsiTheme="majorBidi" w:cstheme="majorBidi"/>
          <w:b/>
          <w:bCs/>
          <w:sz w:val="24"/>
          <w:szCs w:val="24"/>
        </w:rPr>
        <w:fldChar w:fldCharType="begin" w:fldLock="1"/>
      </w:r>
      <w:r w:rsidR="00F03936" w:rsidRPr="00F03936">
        <w:rPr>
          <w:rFonts w:asciiTheme="majorBidi" w:hAnsiTheme="majorBidi" w:cstheme="majorBidi"/>
          <w:b/>
          <w:bCs/>
          <w:sz w:val="24"/>
          <w:szCs w:val="24"/>
        </w:rPr>
        <w:instrText>ADDIN CSL_CITATION {"citationItems":[{"id":"ITEM-1","itemData":{"DOI":"10.1080/10408398.2020.1734532","ISSN":"15497852","PMID":"32146825","abstract":"Furan (C4H4O) is a volatile, heterocyclic and carcinogenic heterocyclic chemical compound occurring in a wide range of thermally processed foods. Several studies have been conducted to analyze the formation conditions, triggering furan formation via model systems. Furan can be encountered via various pathways including thermal degradation, oxidation of polyunsaturated fatty acids, thermal rearrangement of carbohydrates in the presence of amino acids, thermal degradation of certain amino acids. Furan has been proven to cause cancer in experimental animal models and classified as a possible human carcinogen by International agency for research on cancer based on sufficient evidences. Thus, different strategies should be developed to reduce furan contents in commercially available food stuffs while food processing. This review summarizes some current evidences of furan formation from different precursors, analytical methods for its detection, and its toxicity that might lead to carcinogenicity and genotoxicity with human risk assessment. In addition, furan occurrence in different thermally processed foods entailed by several recent studies as well as furan mitigation strategies during food processing have also been illustrated in this review.","author":[{"dropping-particle":"","family":"Batool","given":"Zahra","non-dropping-particle":"","parse-names":false,"suffix":""},{"dropping-particle":"","family":"Xu","given":"Dan","non-dropping-particle":"","parse-names":false,"suffix":""},{"dropping-particle":"","family":"Zhang","given":"Xia","non-dropping-particle":"","parse-names":false,"suffix":""},{"dropping-particle":"","family":"Li","given":"Xiaoxi","non-dropping-particle":"","parse-names":false,"suffix":""},{"dropping-particle":"","family":"Li","given":"Yuting","non-dropping-particle":"","parse-names":false,"suffix":""},{"dropping-particle":"","family":"Chen","given":"Zhiyi","non-dropping-particle":"","parse-names":false,"suffix":""},{"dropping-particle":"","family":"Li","given":"Bing","non-dropping-particle":"","parse-names":false,"suffix":""},{"dropping-particle":"","family":"Li","given":"Lin","non-dropping-particle":"","parse-names":false,"suffix":""}],"container-title":"Critical Reviews in Food Science and Nutrition","id":"ITEM-1","issue":"3","issued":{"date-parts":[["2021"]]},"page":"395-406","publisher":"Taylor &amp; Francis","title":"A review on furan: Formation, analysis, occurrence, carcinogenicity, genotoxicity and reduction methods","type":"article-journal","volume":"61"},"uris":["http://www.mendeley.com/documents/?uuid=4ee0feef-2846-4a68-8316-8535fcfcd3bf"]}],"mendeley":{"formattedCitation":"(Batool &lt;i&gt;et al.&lt;/i&gt;, 2021)","plainTextFormattedCitation":"(Batool et al., 2021)","previouslyFormattedCitation":"[5]"},"properties":{"noteIndex":0},"schema":"https://github.com/citation-style-language/schema/raw/master/csl-citation.json"}</w:instrText>
      </w:r>
      <w:r w:rsidRPr="00F03936">
        <w:rPr>
          <w:rFonts w:asciiTheme="majorBidi" w:hAnsiTheme="majorBidi" w:cstheme="majorBidi"/>
          <w:b/>
          <w:bCs/>
          <w:sz w:val="24"/>
          <w:szCs w:val="24"/>
        </w:rPr>
        <w:fldChar w:fldCharType="separate"/>
      </w:r>
      <w:r w:rsidR="00F03936" w:rsidRPr="00F03936">
        <w:rPr>
          <w:rFonts w:asciiTheme="majorBidi" w:hAnsiTheme="majorBidi" w:cstheme="majorBidi"/>
          <w:b/>
          <w:bCs/>
          <w:noProof/>
          <w:sz w:val="24"/>
          <w:szCs w:val="24"/>
        </w:rPr>
        <w:t xml:space="preserve">(Batool </w:t>
      </w:r>
      <w:r w:rsidR="00F03936" w:rsidRPr="00F03936">
        <w:rPr>
          <w:rFonts w:asciiTheme="majorBidi" w:hAnsiTheme="majorBidi" w:cstheme="majorBidi"/>
          <w:b/>
          <w:bCs/>
          <w:i/>
          <w:noProof/>
          <w:sz w:val="24"/>
          <w:szCs w:val="24"/>
        </w:rPr>
        <w:t>et al.</w:t>
      </w:r>
      <w:r w:rsidR="00F03936" w:rsidRPr="00F03936">
        <w:rPr>
          <w:rFonts w:asciiTheme="majorBidi" w:hAnsiTheme="majorBidi" w:cstheme="majorBidi"/>
          <w:b/>
          <w:bCs/>
          <w:noProof/>
          <w:sz w:val="24"/>
          <w:szCs w:val="24"/>
        </w:rPr>
        <w:t>, 2021)</w:t>
      </w:r>
      <w:r w:rsidRPr="00F03936">
        <w:rPr>
          <w:rFonts w:asciiTheme="majorBidi" w:hAnsiTheme="majorBidi" w:cstheme="majorBidi"/>
          <w:b/>
          <w:bCs/>
          <w:sz w:val="24"/>
          <w:szCs w:val="24"/>
        </w:rPr>
        <w:fldChar w:fldCharType="end"/>
      </w:r>
      <w:r w:rsidRPr="006755FE">
        <w:rPr>
          <w:rFonts w:asciiTheme="majorBidi" w:hAnsiTheme="majorBidi" w:cstheme="majorBidi"/>
          <w:sz w:val="24"/>
          <w:szCs w:val="24"/>
        </w:rPr>
        <w:t xml:space="preserve">. </w:t>
      </w:r>
      <w:r w:rsidR="009C65EC">
        <w:rPr>
          <w:rFonts w:asciiTheme="majorBidi" w:hAnsiTheme="majorBidi" w:cstheme="majorBidi"/>
          <w:sz w:val="24"/>
          <w:szCs w:val="24"/>
        </w:rPr>
        <w:t>A</w:t>
      </w:r>
      <w:r w:rsidRPr="006755FE">
        <w:rPr>
          <w:rFonts w:asciiTheme="majorBidi" w:hAnsiTheme="majorBidi" w:cstheme="majorBidi"/>
          <w:sz w:val="24"/>
          <w:szCs w:val="24"/>
        </w:rPr>
        <w:t>ccording to</w:t>
      </w:r>
      <w:r w:rsidR="008809A5" w:rsidRPr="008809A5">
        <w:rPr>
          <w:rFonts w:asciiTheme="majorBidi" w:hAnsiTheme="majorBidi" w:cstheme="majorBidi"/>
          <w:b/>
          <w:bCs/>
          <w:noProof/>
          <w:sz w:val="24"/>
          <w:szCs w:val="24"/>
        </w:rPr>
        <w:t xml:space="preserve"> </w:t>
      </w:r>
      <w:r w:rsidR="00F03936" w:rsidRPr="006755FE">
        <w:rPr>
          <w:rFonts w:asciiTheme="majorBidi" w:hAnsiTheme="majorBidi" w:cstheme="majorBidi"/>
          <w:sz w:val="24"/>
          <w:szCs w:val="24"/>
        </w:rPr>
        <w:fldChar w:fldCharType="begin" w:fldLock="1"/>
      </w:r>
      <w:r w:rsidR="00F03936" w:rsidRPr="006755FE">
        <w:rPr>
          <w:rFonts w:asciiTheme="majorBidi" w:hAnsiTheme="majorBidi" w:cstheme="majorBidi"/>
          <w:sz w:val="24"/>
          <w:szCs w:val="24"/>
        </w:rPr>
        <w:instrText>ADDIN CSL_CITATION {"citationItems":[{"id":"ITEM-1","itemData":{"ISSN":"0893-228X","author":[{"dropping-particle":"","family":"Lu","given":"Ding","non-dropping-particle":"","parse-names":false,"suffix":""},{"dropping-particle":"","family":"Peterson","given":"Lisa A","non-dropping-particle":"","parse-names":false,"suffix":""}],"container-title":"Chemical research in toxicology","id":"ITEM-1","issue":"1","issued":{"date-parts":[["2010"]]},"page":"142-151","publisher":"ACS Publications","title":"Identification of furan metabolites derived from Cysteine− cis-2-Butene-1, 4-dial− Lysine cross-links","type":"article-journal","volume":"23"},"uris":["http://www.mendeley.com/documents/?uuid=3ec07def-db0b-4988-9179-ed121f6e6e78"]}],"mendeley":{"formattedCitation":"(Lu &amp; Peterson, 2010)","manualFormatting":" Lu and Peterson (2010)","plainTextFormattedCitation":"(Lu &amp; Peterson, 2010)","previouslyFormattedCitation":"(Lu &amp; Peterson, 2010)"},"properties":{"noteIndex":0},"schema":"https://github.com/citation-style-language/schema/raw/master/csl-citation.json"}</w:instrText>
      </w:r>
      <w:r w:rsidR="00F03936" w:rsidRPr="006755FE">
        <w:rPr>
          <w:rFonts w:asciiTheme="majorBidi" w:hAnsiTheme="majorBidi" w:cstheme="majorBidi"/>
          <w:sz w:val="24"/>
          <w:szCs w:val="24"/>
        </w:rPr>
        <w:fldChar w:fldCharType="separate"/>
      </w:r>
      <w:r w:rsidR="00F03936" w:rsidRPr="006755FE">
        <w:rPr>
          <w:rFonts w:asciiTheme="majorBidi" w:hAnsiTheme="majorBidi" w:cstheme="majorBidi"/>
          <w:noProof/>
          <w:sz w:val="24"/>
          <w:szCs w:val="24"/>
        </w:rPr>
        <w:t xml:space="preserve"> </w:t>
      </w:r>
      <w:r w:rsidR="00F03936" w:rsidRPr="006755FE">
        <w:rPr>
          <w:rFonts w:asciiTheme="majorBidi" w:hAnsiTheme="majorBidi" w:cstheme="majorBidi"/>
          <w:b/>
          <w:bCs/>
          <w:noProof/>
          <w:sz w:val="24"/>
          <w:szCs w:val="24"/>
        </w:rPr>
        <w:t>Lu and Peterson (2010)</w:t>
      </w:r>
      <w:r w:rsidR="00F03936" w:rsidRPr="006755FE">
        <w:rPr>
          <w:rFonts w:asciiTheme="majorBidi" w:hAnsiTheme="majorBidi" w:cstheme="majorBidi"/>
          <w:sz w:val="24"/>
          <w:szCs w:val="24"/>
        </w:rPr>
        <w:fldChar w:fldCharType="end"/>
      </w:r>
      <w:r w:rsidRPr="002A5DE1">
        <w:rPr>
          <w:rFonts w:asciiTheme="majorBidi" w:hAnsiTheme="majorBidi" w:cstheme="majorBidi"/>
          <w:sz w:val="24"/>
          <w:szCs w:val="24"/>
        </w:rPr>
        <w:t>,</w:t>
      </w:r>
      <w:r w:rsidRPr="006755FE">
        <w:rPr>
          <w:rFonts w:asciiTheme="majorBidi" w:hAnsiTheme="majorBidi" w:cstheme="majorBidi"/>
          <w:sz w:val="24"/>
          <w:szCs w:val="24"/>
        </w:rPr>
        <w:t xml:space="preserve"> </w:t>
      </w:r>
      <w:r w:rsidR="008809A5">
        <w:rPr>
          <w:rFonts w:asciiTheme="majorBidi" w:hAnsiTheme="majorBidi" w:cstheme="majorBidi"/>
          <w:sz w:val="24"/>
          <w:szCs w:val="24"/>
        </w:rPr>
        <w:t xml:space="preserve">it </w:t>
      </w:r>
      <w:r w:rsidRPr="006755FE">
        <w:rPr>
          <w:rFonts w:asciiTheme="majorBidi" w:hAnsiTheme="majorBidi" w:cstheme="majorBidi"/>
          <w:sz w:val="24"/>
          <w:szCs w:val="24"/>
        </w:rPr>
        <w:t xml:space="preserve">is a highly reactive metabolite of FU that may interact with the amino and thiol groups and other peptides. The bioactivation of FU to BDA leads to ATP loss, which irreversibly decouples oxidative phosphorylation in the mitochondria of the liver. Collectively, cytotoxic enzymes are activated, including endonucleases that split DNA strands. Additionally, FU induced quick and substantial GSH depletion in hepatocytes, and this disruption to the antioxidant defense mechanism within the cell created the circumstances for free radicals to cause cell damage </w:t>
      </w:r>
      <w:r w:rsidRPr="00F03936">
        <w:rPr>
          <w:rFonts w:asciiTheme="majorBidi" w:hAnsiTheme="majorBidi" w:cstheme="majorBidi"/>
          <w:b/>
          <w:bCs/>
          <w:sz w:val="24"/>
          <w:szCs w:val="24"/>
        </w:rPr>
        <w:fldChar w:fldCharType="begin" w:fldLock="1"/>
      </w:r>
      <w:r w:rsidR="00F03936" w:rsidRPr="00F03936">
        <w:rPr>
          <w:rFonts w:asciiTheme="majorBidi" w:hAnsiTheme="majorBidi" w:cstheme="majorBidi"/>
          <w:b/>
          <w:bCs/>
          <w:sz w:val="24"/>
          <w:szCs w:val="24"/>
        </w:rPr>
        <w:instrText>ADDIN CSL_CITATION {"citationItems":[{"id":"ITEM-1","itemData":{"DOI":"10.1111/jfbc.12597","ISSN":"17454514","abstract":"Furan as a product of thermal processing is found in many foods and beverages. In vitro and in vivo genotoxicity was positive for furan, also when metabolic preconditions for the formation of Z-2-butene-1,4dialdehyde (BDA), the reactive compound, was met. However, in major studies, high doses represented the genotoxic effect. Moreover, data on toxicity in different cells and organs are inconsistent. For preparing remarkable risk assessments in human, providing bioassay data is necessary. We aimed to review available evidences about furan and BDA. A vast number of studies have been published on toxicity of furan in vitro and in vivo. Thus, we present a comprehensive review on the current status of furan in inducing toxic effects in different body systems, and possible mechanisms involved in the negative effects of this compound. In this article, furan mitigation procedures in foods have been taken into account. Practical applications. From industrial point, furan is repeatedly used as an intermediate chemical in the process of producing some compounds such as resins, lacquers, pesticides and drugs. Furthermore, it is common as a side-product of high-energy radiation and thermal processes in food production. The current study focused on the effects of furan on the body organs. Furthermore, furan mitigation procedures in foods have been addressed in the current study. Nearly all previous studies on the industrial furan demonstrated that it has adverse health effects on the organs of the body. In order to prove specific results, further studies regarding furan risk assessment is of great importance.","author":[{"dropping-particle":"","family":"Alizadeh","given":"Mohammad","non-dropping-particle":"","parse-names":false,"suffix":""},{"dropping-particle":"","family":"Barati","given":"Meisam","non-dropping-particle":"","parse-names":false,"suffix":""},{"dropping-particle":"","family":"Saleh-Ghadimi","given":"Sevda","non-dropping-particle":"","parse-names":false,"suffix":""},{"dropping-particle":"","family":"Roshanravan","given":"Neda","non-dropping-particle":"","parse-names":false,"suffix":""},{"dropping-particle":"","family":"Zeinalian","given":"Reihaneh","non-dropping-particle":"","parse-names":false,"suffix":""},{"dropping-particle":"","family":"Jabbari","given":"Masoumeh","non-dropping-particle":"","parse-names":false,"suffix":""}],"container-title":"Journal of Food Biochemistry","id":"ITEM-1","issue":"5","issued":{"date-parts":[["2018"]]},"page":"1-13","title":"Industrial furan and its biological effects on the body systems","type":"article-journal","volume":"42"},"uris":["http://www.mendeley.com/documents/?uuid=4e5b29da-3eec-4fd5-ad52-37711502277c"]}],"mendeley":{"formattedCitation":"(Alizadeh &lt;i&gt;et al.&lt;/i&gt;, 2018)","plainTextFormattedCitation":"(Alizadeh et al., 2018)","previouslyFormattedCitation":"[7]"},"properties":{"noteIndex":0},"schema":"https://github.com/citation-style-language/schema/raw/master/csl-citation.json"}</w:instrText>
      </w:r>
      <w:r w:rsidRPr="00F03936">
        <w:rPr>
          <w:rFonts w:asciiTheme="majorBidi" w:hAnsiTheme="majorBidi" w:cstheme="majorBidi"/>
          <w:b/>
          <w:bCs/>
          <w:sz w:val="24"/>
          <w:szCs w:val="24"/>
        </w:rPr>
        <w:fldChar w:fldCharType="separate"/>
      </w:r>
      <w:r w:rsidR="00F03936" w:rsidRPr="00F03936">
        <w:rPr>
          <w:rFonts w:asciiTheme="majorBidi" w:hAnsiTheme="majorBidi" w:cstheme="majorBidi"/>
          <w:b/>
          <w:bCs/>
          <w:noProof/>
          <w:sz w:val="24"/>
          <w:szCs w:val="24"/>
        </w:rPr>
        <w:t xml:space="preserve">(Alizadeh </w:t>
      </w:r>
      <w:r w:rsidR="00F03936" w:rsidRPr="00F03936">
        <w:rPr>
          <w:rFonts w:asciiTheme="majorBidi" w:hAnsiTheme="majorBidi" w:cstheme="majorBidi"/>
          <w:b/>
          <w:bCs/>
          <w:i/>
          <w:noProof/>
          <w:sz w:val="24"/>
          <w:szCs w:val="24"/>
        </w:rPr>
        <w:t>et al.</w:t>
      </w:r>
      <w:r w:rsidR="00F03936" w:rsidRPr="00F03936">
        <w:rPr>
          <w:rFonts w:asciiTheme="majorBidi" w:hAnsiTheme="majorBidi" w:cstheme="majorBidi"/>
          <w:b/>
          <w:bCs/>
          <w:noProof/>
          <w:sz w:val="24"/>
          <w:szCs w:val="24"/>
        </w:rPr>
        <w:t>, 2018)</w:t>
      </w:r>
      <w:r w:rsidRPr="00F03936">
        <w:rPr>
          <w:rFonts w:asciiTheme="majorBidi" w:hAnsiTheme="majorBidi" w:cstheme="majorBidi"/>
          <w:b/>
          <w:bCs/>
          <w:sz w:val="24"/>
          <w:szCs w:val="24"/>
        </w:rPr>
        <w:fldChar w:fldCharType="end"/>
      </w:r>
      <w:r w:rsidRPr="006755FE">
        <w:rPr>
          <w:rFonts w:asciiTheme="majorBidi" w:hAnsiTheme="majorBidi" w:cstheme="majorBidi"/>
          <w:sz w:val="24"/>
          <w:szCs w:val="24"/>
        </w:rPr>
        <w:t>.</w:t>
      </w:r>
    </w:p>
    <w:p w14:paraId="179D6112" w14:textId="58FC9AAC" w:rsidR="006755FE" w:rsidRPr="006755FE" w:rsidRDefault="006755FE" w:rsidP="00B45133">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Moreover, the environment is heavily contaminated with Cd, which arises from manufacturing, agriculture, and numerous other sources of pollution along with natural occurrence</w:t>
      </w:r>
      <w:r w:rsidR="00B45133">
        <w:rPr>
          <w:rFonts w:asciiTheme="majorBidi" w:hAnsiTheme="majorBidi" w:cstheme="majorBidi"/>
          <w:sz w:val="24"/>
          <w:szCs w:val="24"/>
        </w:rPr>
        <w:t>s</w:t>
      </w:r>
      <w:r w:rsidRPr="006755FE">
        <w:rPr>
          <w:rFonts w:asciiTheme="majorBidi" w:hAnsiTheme="majorBidi" w:cstheme="majorBidi"/>
          <w:sz w:val="24"/>
          <w:szCs w:val="24"/>
        </w:rPr>
        <w:t> </w:t>
      </w:r>
      <w:r w:rsidRPr="00530915">
        <w:rPr>
          <w:rFonts w:asciiTheme="majorBidi" w:hAnsiTheme="majorBidi" w:cstheme="majorBidi"/>
          <w:b/>
          <w:bCs/>
          <w:sz w:val="24"/>
          <w:szCs w:val="24"/>
        </w:rPr>
        <w:fldChar w:fldCharType="begin" w:fldLock="1"/>
      </w:r>
      <w:r w:rsidR="00F03936" w:rsidRPr="00530915">
        <w:rPr>
          <w:rFonts w:asciiTheme="majorBidi" w:hAnsiTheme="majorBidi" w:cstheme="majorBidi"/>
          <w:b/>
          <w:bCs/>
          <w:sz w:val="24"/>
          <w:szCs w:val="24"/>
        </w:rPr>
        <w:instrText>ADDIN CSL_CITATION {"citationItems":[{"id":"ITEM-1","itemData":{"ISSN":"0048-9697","author":[{"dropping-particle":"","family":"Zhang","given":"Hao","non-dropping-particle":"","parse-names":false,"suffix":""},{"dropping-particle":"","family":"Reynolds","given":"Mindy","non-dropping-particle":"","parse-names":false,"suffix":""}],"container-title":"Science of the Total Environment","id":"ITEM-1","issued":{"date-parts":[["2019"]]},"page":"761-767","publisher":"Elsevier","title":"Cadmium exposure in living organisms: A short review","type":"article-journal","volume":"678"},"uris":["http://www.mendeley.com/documents/?uuid=536c1e78-845f-4618-8c78-96783cab582c","http://www.mendeley.com/documents/?uuid=8f9aa9c7-6c6e-42a9-93c6-97e5e0725255"]}],"mendeley":{"formattedCitation":"(Zhang and Reynolds, 2019)","plainTextFormattedCitation":"(Zhang and Reynolds, 2019)","previouslyFormattedCitation":"[8]"},"properties":{"noteIndex":0},"schema":"https://github.com/citation-style-language/schema/raw/master/csl-citation.json"}</w:instrText>
      </w:r>
      <w:r w:rsidRPr="00530915">
        <w:rPr>
          <w:rFonts w:asciiTheme="majorBidi" w:hAnsiTheme="majorBidi" w:cstheme="majorBidi"/>
          <w:b/>
          <w:bCs/>
          <w:sz w:val="24"/>
          <w:szCs w:val="24"/>
        </w:rPr>
        <w:fldChar w:fldCharType="separate"/>
      </w:r>
      <w:r w:rsidR="00F03936" w:rsidRPr="00530915">
        <w:rPr>
          <w:rFonts w:asciiTheme="majorBidi" w:hAnsiTheme="majorBidi" w:cstheme="majorBidi"/>
          <w:b/>
          <w:bCs/>
          <w:noProof/>
          <w:sz w:val="24"/>
          <w:szCs w:val="24"/>
        </w:rPr>
        <w:t>(Zhang and Reynolds, 2019)</w:t>
      </w:r>
      <w:r w:rsidRPr="00530915">
        <w:rPr>
          <w:rFonts w:asciiTheme="majorBidi" w:hAnsiTheme="majorBidi" w:cstheme="majorBidi"/>
          <w:b/>
          <w:bCs/>
          <w:sz w:val="24"/>
          <w:szCs w:val="24"/>
        </w:rPr>
        <w:fldChar w:fldCharType="end"/>
      </w:r>
      <w:r w:rsidRPr="006755FE">
        <w:rPr>
          <w:rFonts w:asciiTheme="majorBidi" w:hAnsiTheme="majorBidi" w:cstheme="majorBidi"/>
          <w:sz w:val="24"/>
          <w:szCs w:val="24"/>
        </w:rPr>
        <w:t xml:space="preserve">. For the majority of the population, diet and cigarette use are thought to be </w:t>
      </w:r>
      <w:r w:rsidR="00B45133">
        <w:rPr>
          <w:rFonts w:asciiTheme="majorBidi" w:hAnsiTheme="majorBidi" w:cstheme="majorBidi"/>
          <w:sz w:val="24"/>
          <w:szCs w:val="24"/>
        </w:rPr>
        <w:t>their</w:t>
      </w:r>
      <w:r w:rsidRPr="006755FE">
        <w:rPr>
          <w:rFonts w:asciiTheme="majorBidi" w:hAnsiTheme="majorBidi" w:cstheme="majorBidi"/>
          <w:sz w:val="24"/>
          <w:szCs w:val="24"/>
        </w:rPr>
        <w:t xml:space="preserve"> two main contributors </w:t>
      </w:r>
      <w:r w:rsidRPr="00794161">
        <w:rPr>
          <w:rFonts w:asciiTheme="majorBidi" w:hAnsiTheme="majorBidi" w:cstheme="majorBidi"/>
          <w:b/>
          <w:bCs/>
          <w:sz w:val="24"/>
          <w:szCs w:val="24"/>
        </w:rPr>
        <w:fldChar w:fldCharType="begin" w:fldLock="1"/>
      </w:r>
      <w:r w:rsidR="00F03936" w:rsidRPr="00794161">
        <w:rPr>
          <w:rFonts w:asciiTheme="majorBidi" w:hAnsiTheme="majorBidi" w:cstheme="majorBidi"/>
          <w:b/>
          <w:bCs/>
          <w:sz w:val="24"/>
          <w:szCs w:val="24"/>
        </w:rPr>
        <w:instrText>ADDIN CSL_CITATION {"citationItems":[{"id":"ITEM-1","itemData":{"author":[{"dropping-particle":"","family":"Rahimzadeh","given":"Mehrdad Rafati","non-dropping-particle":"","parse-names":false,"suffix":""},{"dropping-particle":"","family":"Rahimzadeh","given":"Mehravar Rafati","non-dropping-particle":"","parse-names":false,"suffix":""},{"dropping-particle":"","family":"Kazemi","given":"Sohrab","non-dropping-particle":"","parse-names":false,"suffix":""},{"dropping-particle":"","family":"Moghadamnia","given":"Ali-akbar","non-dropping-particle":"","parse-names":false,"suffix":""}],"container-title":"Caspian journal of internal medicine","id":"ITEM-1","issue":"3","issued":{"date-parts":[["2017"]]},"page":"135","publisher":"Babol University of Medical Sciences","title":"Cadmium toxicity and treatment: An update","type":"article-journal","volume":"8"},"uris":["http://www.mendeley.com/documents/?uuid=32733724-b471-4866-8233-0e420575029c"]},{"id":"ITEM-2","itemData":{"ISSN":"0048-9697","author":[{"dropping-particle":"","family":"Zhang","given":"Hao","non-dropping-particle":"","parse-names":false,"suffix":""},{"dropping-particle":"","family":"Reynolds","given":"Mindy","non-dropping-particle":"","parse-names":false,"suffix":""}],"container-title":"Science of the Total Environment","id":"ITEM-2","issued":{"date-parts":[["2019"]]},"page":"761-767","publisher":"Elsevier","title":"Cadmium exposure in living organisms: A short review","type":"article-journal","volume":"678"},"uris":["http://www.mendeley.com/documents/?uuid=8f9aa9c7-6c6e-42a9-93c6-97e5e0725255","http://www.mendeley.com/documents/?uuid=536c1e78-845f-4618-8c78-96783cab582c"]}],"mendeley":{"formattedCitation":"(Rahimzadeh &lt;i&gt;et al.&lt;/i&gt;, 2017; Zhang and Reynolds, 2019)","plainTextFormattedCitation":"(Rahimzadeh et al., 2017; Zhang and Reynolds, 2019)","previouslyFormattedCitation":"[8,9]"},"properties":{"noteIndex":0},"schema":"https://github.com/citation-style-language/schema/raw/master/csl-citation.json"}</w:instrText>
      </w:r>
      <w:r w:rsidRPr="00794161">
        <w:rPr>
          <w:rFonts w:asciiTheme="majorBidi" w:hAnsiTheme="majorBidi" w:cstheme="majorBidi"/>
          <w:b/>
          <w:bCs/>
          <w:sz w:val="24"/>
          <w:szCs w:val="24"/>
        </w:rPr>
        <w:fldChar w:fldCharType="separate"/>
      </w:r>
      <w:r w:rsidR="00F03936" w:rsidRPr="00794161">
        <w:rPr>
          <w:rFonts w:asciiTheme="majorBidi" w:hAnsiTheme="majorBidi" w:cstheme="majorBidi"/>
          <w:b/>
          <w:bCs/>
          <w:noProof/>
          <w:sz w:val="24"/>
          <w:szCs w:val="24"/>
        </w:rPr>
        <w:t xml:space="preserve">(Rahimzadeh </w:t>
      </w:r>
      <w:r w:rsidR="00F03936" w:rsidRPr="00794161">
        <w:rPr>
          <w:rFonts w:asciiTheme="majorBidi" w:hAnsiTheme="majorBidi" w:cstheme="majorBidi"/>
          <w:b/>
          <w:bCs/>
          <w:i/>
          <w:noProof/>
          <w:sz w:val="24"/>
          <w:szCs w:val="24"/>
        </w:rPr>
        <w:t>et al.</w:t>
      </w:r>
      <w:r w:rsidR="00F03936" w:rsidRPr="00794161">
        <w:rPr>
          <w:rFonts w:asciiTheme="majorBidi" w:hAnsiTheme="majorBidi" w:cstheme="majorBidi"/>
          <w:b/>
          <w:bCs/>
          <w:noProof/>
          <w:sz w:val="24"/>
          <w:szCs w:val="24"/>
        </w:rPr>
        <w:t>, 2017; Zhang and Reynolds, 2019)</w:t>
      </w:r>
      <w:r w:rsidRPr="00794161">
        <w:rPr>
          <w:rFonts w:asciiTheme="majorBidi" w:hAnsiTheme="majorBidi" w:cstheme="majorBidi"/>
          <w:b/>
          <w:bCs/>
          <w:sz w:val="24"/>
          <w:szCs w:val="24"/>
        </w:rPr>
        <w:fldChar w:fldCharType="end"/>
      </w:r>
      <w:r w:rsidRPr="006755FE">
        <w:rPr>
          <w:rFonts w:asciiTheme="majorBidi" w:hAnsiTheme="majorBidi" w:cstheme="majorBidi"/>
          <w:sz w:val="24"/>
          <w:szCs w:val="24"/>
        </w:rPr>
        <w:t xml:space="preserve">. Through the food chain, Cd can build up in fish, birds, and mammals, causing acute and chronic poisoning </w:t>
      </w:r>
      <w:r w:rsidR="00794161" w:rsidRPr="00794161">
        <w:rPr>
          <w:rFonts w:asciiTheme="majorBidi" w:hAnsiTheme="majorBidi" w:cstheme="majorBidi"/>
          <w:b/>
          <w:bCs/>
          <w:sz w:val="24"/>
          <w:szCs w:val="24"/>
        </w:rPr>
        <w:t>(</w:t>
      </w:r>
      <w:r w:rsidRPr="00794161">
        <w:rPr>
          <w:rFonts w:asciiTheme="majorBidi" w:hAnsiTheme="majorBidi" w:cstheme="majorBidi"/>
          <w:b/>
          <w:bCs/>
          <w:sz w:val="24"/>
          <w:szCs w:val="24"/>
        </w:rPr>
        <w:fldChar w:fldCharType="begin" w:fldLock="1"/>
      </w:r>
      <w:r w:rsidR="00794161">
        <w:rPr>
          <w:rFonts w:asciiTheme="majorBidi" w:hAnsiTheme="majorBidi" w:cstheme="majorBidi"/>
          <w:b/>
          <w:bCs/>
          <w:sz w:val="24"/>
          <w:szCs w:val="24"/>
        </w:rPr>
        <w:instrText>ADDIN CSL_CITATION {"citationItems":[{"id":"ITEM-1","itemData":{"ISSN":"0944-1344","author":[{"dropping-particle":"","family":"Bao","given":"Rong-kun","non-dropping-particle":"","parse-names":false,"suffix":""},{"dropping-particle":"","family":"Zheng","given":"Shu-fang","non-dropping-particle":"","parse-names":false,"suffix":""},{"dropping-particle":"","family":"Wang","given":"Xin-yue","non-dropping-particle":"","parse-names":false,"suffix":""}],"container-title":"Environmental Science and Pollution Research","id":"ITEM-1","issued":{"date-parts":[["2017"]]},"page":"20342-20353","publisher":"Springer","title":"Selenium protects against cadmium-induced kidney apoptosis in chickens by activating the PI3K/AKT/Bcl-2 signaling pathway","type":"article-journal","volume":"24"},"uris":["http://www.mendeley.com/documents/?uuid=c5988860-15c9-4b10-b9b1-e73cf46d07c0","http://www.mendeley.com/documents/?uuid=5631548c-7324-4b3b-8dd9-16480ae4eab7"]}],"mendeley":{"formattedCitation":"(Bao, Zheng and Wang, 2017)","manualFormatting":"Bao et al., 2017)","plainTextFormattedCitation":"(Bao, Zheng and Wang, 2017)","previouslyFormattedCitation":"[10]"},"properties":{"noteIndex":0},"schema":"https://github.com/citation-style-language/schema/raw/master/csl-citation.json"}</w:instrText>
      </w:r>
      <w:r w:rsidRPr="00794161">
        <w:rPr>
          <w:rFonts w:asciiTheme="majorBidi" w:hAnsiTheme="majorBidi" w:cstheme="majorBidi"/>
          <w:b/>
          <w:bCs/>
          <w:sz w:val="24"/>
          <w:szCs w:val="24"/>
        </w:rPr>
        <w:fldChar w:fldCharType="separate"/>
      </w:r>
      <w:r w:rsidR="00794161" w:rsidRPr="00794161">
        <w:rPr>
          <w:rFonts w:asciiTheme="majorBidi" w:hAnsiTheme="majorBidi" w:cstheme="majorBidi"/>
          <w:b/>
          <w:bCs/>
          <w:noProof/>
          <w:sz w:val="24"/>
          <w:szCs w:val="24"/>
        </w:rPr>
        <w:t xml:space="preserve">Bao </w:t>
      </w:r>
      <w:r w:rsidR="00794161" w:rsidRPr="00794161">
        <w:rPr>
          <w:rFonts w:asciiTheme="majorBidi" w:hAnsiTheme="majorBidi" w:cstheme="majorBidi"/>
          <w:b/>
          <w:bCs/>
          <w:i/>
          <w:iCs/>
          <w:noProof/>
          <w:sz w:val="24"/>
          <w:szCs w:val="24"/>
        </w:rPr>
        <w:t>et al</w:t>
      </w:r>
      <w:r w:rsidR="00794161" w:rsidRPr="00794161">
        <w:rPr>
          <w:rFonts w:asciiTheme="majorBidi" w:hAnsiTheme="majorBidi" w:cstheme="majorBidi"/>
          <w:b/>
          <w:bCs/>
          <w:noProof/>
          <w:sz w:val="24"/>
          <w:szCs w:val="24"/>
        </w:rPr>
        <w:t>., 2017</w:t>
      </w:r>
      <w:r w:rsidR="00F03936" w:rsidRPr="00794161">
        <w:rPr>
          <w:rFonts w:asciiTheme="majorBidi" w:hAnsiTheme="majorBidi" w:cstheme="majorBidi"/>
          <w:b/>
          <w:bCs/>
          <w:noProof/>
          <w:sz w:val="24"/>
          <w:szCs w:val="24"/>
        </w:rPr>
        <w:t>)</w:t>
      </w:r>
      <w:r w:rsidRPr="00794161">
        <w:rPr>
          <w:rFonts w:asciiTheme="majorBidi" w:hAnsiTheme="majorBidi" w:cstheme="majorBidi"/>
          <w:b/>
          <w:bCs/>
          <w:sz w:val="24"/>
          <w:szCs w:val="24"/>
        </w:rPr>
        <w:fldChar w:fldCharType="end"/>
      </w:r>
      <w:r w:rsidRPr="006755FE">
        <w:rPr>
          <w:rFonts w:asciiTheme="majorBidi" w:hAnsiTheme="majorBidi" w:cstheme="majorBidi"/>
          <w:sz w:val="24"/>
          <w:szCs w:val="24"/>
        </w:rPr>
        <w:t xml:space="preserve">. Several research investigations have demonstrated that chronic exposure to Cd can result in a range of pathophysiological alterations in the body as well as various organ damage, including kidney, liver, testicular, and pulmonary edema </w:t>
      </w:r>
      <w:r w:rsidRPr="00794161">
        <w:rPr>
          <w:rFonts w:asciiTheme="majorBidi" w:hAnsiTheme="majorBidi" w:cstheme="majorBidi"/>
          <w:b/>
          <w:bCs/>
          <w:sz w:val="24"/>
          <w:szCs w:val="24"/>
        </w:rPr>
        <w:fldChar w:fldCharType="begin" w:fldLock="1"/>
      </w:r>
      <w:r w:rsidR="00F03936" w:rsidRPr="00794161">
        <w:rPr>
          <w:rFonts w:asciiTheme="majorBidi" w:hAnsiTheme="majorBidi" w:cstheme="majorBidi"/>
          <w:b/>
          <w:bCs/>
          <w:sz w:val="24"/>
          <w:szCs w:val="24"/>
        </w:rPr>
        <w:instrText>ADDIN CSL_CITATION {"citationItems":[{"id":"ITEM-1","itemData":{"DOI":"10.1016/j.chemosphere.2017.11.063","ISSN":"18791298","abstract":"Cadmium (Cd) and high Molybdenum (Mo) can lead to adverse reactions on animals, but the co-induced toxicity of Mo and Cd to liver in ducks was not well understood. To investigate the co-induced toxic effects of Mo combined with Cd on mitochondrial oxidative stress and apoptosis in duck livers. 240 healthy 11-day-old ducks were randomly divided into 6 groups (control, LMo group, HMo group, Cd group, LMoCd group and HMoCd group). After being treated for 30, 60, 90 and 120 days, liver mitochondrial antioxidant indexes, ceruloplasmin (CP), metallothionein (MT), Bak-1 and Caspase-3 genes mRNA expression levels, and ultrastructural changes were evaluated. The results showed that total antioxidative capacity (T-AOC), catalase (CAT), superoxide dismutase (SOD) and xanthine oxidase (XOD) activities in experimental groups were decreased, whereas malondialdehyde (MDA) content and nitric oxide synthase (NOS) activity were increased compared with control group, and these changes of co-treated groups were more obvious in the later period of the experiment. The mRNA expression levels of CP, Bak-1 and Caspase-3 were up-regulated in experimental groups compared with control group and showed significant difference between co-treated groups and single treated groups. The mRNA expression level of MT in Cd group was higher than that in co-treated groups. Additionally, ultrastructural changes showed karyopyknosis, mitochondrial swelling, vacuolation and disruption of mitochondrial cristae in co-treated groups. Taken together, it was suggested that dietary Mo and Cd might lead to mitochondrial oxidative stress and apoptosis in duck livers, and it showed a possible synergistic relationship between the two elements.","author":[{"dropping-particle":"","family":"Dai","given":"Xueyan","non-dropping-particle":"","parse-names":false,"suffix":""},{"dropping-particle":"","family":"Xing","given":"Chenghong","non-dropping-particle":"","parse-names":false,"suffix":""},{"dropping-particle":"","family":"Cao","given":"Huabin","non-dropping-particle":"","parse-names":false,"suffix":""},{"dropping-particle":"","family":"Luo","given":"Junrong","non-dropping-particle":"","parse-names":false,"suffix":""},{"dropping-particle":"","family":"Wang","given":"Tiancheng","non-dropping-particle":"","parse-names":false,"suffix":""},{"dropping-particle":"","family":"Liu","given":"Ping","non-dropping-particle":"","parse-names":false,"suffix":""},{"dropping-particle":"","family":"Guo","given":"Xiaoquan","non-dropping-particle":"","parse-names":false,"suffix":""},{"dropping-particle":"","family":"Hu","given":"Guoliang","non-dropping-particle":"","parse-names":false,"suffix":""},{"dropping-particle":"","family":"Zhang","given":"Caiying","non-dropping-particle":"","parse-names":false,"suffix":""}],"container-title":"Chemosphere","id":"ITEM-1","issued":{"date-parts":[["2018"]]},"page":"574-580","publisher":"Elsevier B.V.","title":"Alterations of mitochondrial antioxidant indexes and apoptosis in duck livers caused by Molybdenum or/and cadmium","type":"article-journal","volume":"193"},"uris":["http://www.mendeley.com/documents/?uuid=78b5c604-5fd0-4fa6-88d8-3b82810ebcd0","http://www.mendeley.com/documents/?uuid=51dce62c-22e3-44c4-b23c-ba1d7c00a544"]},{"id":"ITEM-2","itemData":{"ISSN":"0278-6915","author":[{"dropping-particle":"","family":"Liu","given":"Jin","non-dropping-particle":"","parse-names":false,"suffix":""},{"dropping-particle":"","family":"Lu","given":"Xiaoli","non-dropping-particle":"","parse-names":false,"suffix":""},{"dropping-particle":"","family":"Wang","given":"Wenxiang","non-dropping-particle":"","parse-names":false,"suffix":""},{"dropping-particle":"","family":"Zhu","given":"Jianlin","non-dropping-particle":"","parse-names":false,"suffix":""},{"dropping-particle":"","family":"Li","given":"Yuchen","non-dropping-particle":"","parse-names":false,"suffix":""},{"dropping-particle":"","family":"Luo","given":"Lingfeng","non-dropping-particle":"","parse-names":false,"suffix":""},{"dropping-particle":"","family":"Zhang","given":"Wenchang","non-dropping-particle":"","parse-names":false,"suffix":""}],"container-title":"Food and Chemical Toxicology","id":"ITEM-2","issued":{"date-parts":[["2018"]]},"page":"332-341","publisher":"Elsevier","title":"Activity of MPF and expression of its related genes in mouse MI oocytes exposed to cadmium","type":"article-journal","volume":"112"},"uris":["http://www.mendeley.com/documents/?uuid=21c88757-6648-4492-8ced-7d21cfd1bb5f","http://www.mendeley.com/documents/?uuid=5445d6b4-9087-4dab-b2a5-a22f91d0c8ef"]}],"mendeley":{"formattedCitation":"(Dai &lt;i&gt;et al.&lt;/i&gt;, 2018; Liu &lt;i&gt;et al.&lt;/i&gt;, 2018)","plainTextFormattedCitation":"(Dai et al., 2018; Liu et al., 2018)","previouslyFormattedCitation":"[11,12]"},"properties":{"noteIndex":0},"schema":"https://github.com/citation-style-language/schema/raw/master/csl-citation.json"}</w:instrText>
      </w:r>
      <w:r w:rsidRPr="00794161">
        <w:rPr>
          <w:rFonts w:asciiTheme="majorBidi" w:hAnsiTheme="majorBidi" w:cstheme="majorBidi"/>
          <w:b/>
          <w:bCs/>
          <w:sz w:val="24"/>
          <w:szCs w:val="24"/>
        </w:rPr>
        <w:fldChar w:fldCharType="separate"/>
      </w:r>
      <w:r w:rsidR="00F03936" w:rsidRPr="00794161">
        <w:rPr>
          <w:rFonts w:asciiTheme="majorBidi" w:hAnsiTheme="majorBidi" w:cstheme="majorBidi"/>
          <w:b/>
          <w:bCs/>
          <w:noProof/>
          <w:sz w:val="24"/>
          <w:szCs w:val="24"/>
        </w:rPr>
        <w:t xml:space="preserve">(Dai </w:t>
      </w:r>
      <w:r w:rsidR="00F03936" w:rsidRPr="00794161">
        <w:rPr>
          <w:rFonts w:asciiTheme="majorBidi" w:hAnsiTheme="majorBidi" w:cstheme="majorBidi"/>
          <w:b/>
          <w:bCs/>
          <w:i/>
          <w:noProof/>
          <w:sz w:val="24"/>
          <w:szCs w:val="24"/>
        </w:rPr>
        <w:t>et al.</w:t>
      </w:r>
      <w:r w:rsidR="00F03936" w:rsidRPr="00794161">
        <w:rPr>
          <w:rFonts w:asciiTheme="majorBidi" w:hAnsiTheme="majorBidi" w:cstheme="majorBidi"/>
          <w:b/>
          <w:bCs/>
          <w:noProof/>
          <w:sz w:val="24"/>
          <w:szCs w:val="24"/>
        </w:rPr>
        <w:t xml:space="preserve">, 2018; Liu </w:t>
      </w:r>
      <w:r w:rsidR="00F03936" w:rsidRPr="00794161">
        <w:rPr>
          <w:rFonts w:asciiTheme="majorBidi" w:hAnsiTheme="majorBidi" w:cstheme="majorBidi"/>
          <w:b/>
          <w:bCs/>
          <w:i/>
          <w:noProof/>
          <w:sz w:val="24"/>
          <w:szCs w:val="24"/>
        </w:rPr>
        <w:t>et al.</w:t>
      </w:r>
      <w:r w:rsidR="00F03936" w:rsidRPr="00794161">
        <w:rPr>
          <w:rFonts w:asciiTheme="majorBidi" w:hAnsiTheme="majorBidi" w:cstheme="majorBidi"/>
          <w:b/>
          <w:bCs/>
          <w:noProof/>
          <w:sz w:val="24"/>
          <w:szCs w:val="24"/>
        </w:rPr>
        <w:t>, 2018)</w:t>
      </w:r>
      <w:r w:rsidRPr="00794161">
        <w:rPr>
          <w:rFonts w:asciiTheme="majorBidi" w:hAnsiTheme="majorBidi" w:cstheme="majorBidi"/>
          <w:b/>
          <w:bCs/>
          <w:sz w:val="24"/>
          <w:szCs w:val="24"/>
        </w:rPr>
        <w:fldChar w:fldCharType="end"/>
      </w:r>
      <w:r w:rsidRPr="006755FE">
        <w:rPr>
          <w:rFonts w:asciiTheme="majorBidi" w:hAnsiTheme="majorBidi" w:cstheme="majorBidi"/>
          <w:sz w:val="24"/>
          <w:szCs w:val="24"/>
        </w:rPr>
        <w:t>.</w:t>
      </w:r>
    </w:p>
    <w:p w14:paraId="0BA1A065" w14:textId="484F8198" w:rsidR="006755FE" w:rsidRPr="006755FE" w:rsidRDefault="006755FE" w:rsidP="00B45133">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 xml:space="preserve">Although the mechanisms of Cd toxicity at the tissue level in biological systems are not fully understood, numerous pathways have been found to be </w:t>
      </w:r>
      <w:proofErr w:type="gramStart"/>
      <w:r w:rsidRPr="006755FE">
        <w:rPr>
          <w:rFonts w:asciiTheme="majorBidi" w:hAnsiTheme="majorBidi" w:cstheme="majorBidi"/>
          <w:sz w:val="24"/>
          <w:szCs w:val="24"/>
        </w:rPr>
        <w:t>the means by which</w:t>
      </w:r>
      <w:proofErr w:type="gramEnd"/>
      <w:r w:rsidRPr="006755FE">
        <w:rPr>
          <w:rFonts w:asciiTheme="majorBidi" w:hAnsiTheme="majorBidi" w:cstheme="majorBidi"/>
          <w:sz w:val="24"/>
          <w:szCs w:val="24"/>
        </w:rPr>
        <w:t xml:space="preserve"> Cd manifests its harmful effects on health. One of the most common and significant mechanisms is the imbalance in the antioxidant state that occurs in biological systems following Cd exposure. Free radical production rises, and essential antioxidant enzyme activity is suppressed</w:t>
      </w:r>
      <w:r w:rsidR="00C338C1">
        <w:rPr>
          <w:rFonts w:asciiTheme="majorBidi" w:hAnsiTheme="majorBidi" w:cstheme="majorBidi"/>
          <w:sz w:val="24"/>
          <w:szCs w:val="24"/>
        </w:rPr>
        <w:t xml:space="preserve"> </w:t>
      </w:r>
      <w:r w:rsidR="00C338C1" w:rsidRPr="00CB39BD">
        <w:rPr>
          <w:rFonts w:asciiTheme="majorBidi" w:hAnsiTheme="majorBidi" w:cstheme="majorBidi"/>
          <w:b/>
          <w:bCs/>
          <w:sz w:val="24"/>
          <w:szCs w:val="24"/>
        </w:rPr>
        <w:fldChar w:fldCharType="begin" w:fldLock="1"/>
      </w:r>
      <w:r w:rsidR="00F03936" w:rsidRPr="00CB39BD">
        <w:rPr>
          <w:rFonts w:asciiTheme="majorBidi" w:hAnsiTheme="majorBidi" w:cstheme="majorBidi"/>
          <w:b/>
          <w:bCs/>
          <w:sz w:val="24"/>
          <w:szCs w:val="24"/>
        </w:rPr>
        <w:instrText>ADDIN CSL_CITATION {"citationItems":[{"id":"ITEM-1","itemData":{"DOI":"10.3390/ijms14036116","ISBN":"1422-0067","abstract":"Over the years, anthropogenic factors have led to cadmium (Cd) accumulation in the environment causing various health problems in humans. Although Cd is not a Fenton-like metal, it induces oxidative stress in various animal models via indirect mechanisms. The degree of Cd-induced oxidative stress depends on the dose, duration and frequency of Cd exposure. Also the presence or absence of serum in experimental conditions, type of cells and their antioxidant capacity, as well as the speciation of Cd are important determinants. At the cellular level, the Cd-induced oxidative stress either leads to oxidative damage or activates signal transduction pathways to initiate defence responses. This balance is important on how different organ systems respond to Cd stress and ultimately define the pathological outcome. In this review, we highlight the Cd-induced oxidant/antioxidant status as well as the damage versus signalling scenario in relation to Cd toxicity. Emphasis is addressed to Cd-induced pathologies of major target organs, including a section on cell proliferation and carcinogenesis. Furthermore, attention is paid to Cd-induced oxidative stress in undifferentiated stem cells, which can provide information for future therapies in preventing Cd-induced pathologies.","author":[{"dropping-particle":"","family":"Nair","given":"Ambily R","non-dropping-particle":"","parse-names":false,"suffix":""},{"dropping-particle":"","family":"DeGheselle","given":"Olivier","non-dropping-particle":"","parse-names":false,"suffix":""},{"dropping-particle":"","family":"Smeets","given":"Karen","non-dropping-particle":"","parse-names":false,"suffix":""},{"dropping-particle":"","family":"Kerkhove","given":"Emmy","non-dropping-particle":"Van","parse-names":false,"suffix":""},{"dropping-particle":"","family":"Cuypers","given":"Ann","non-dropping-particle":"","parse-names":false,"suffix":""}],"container-title":"International Journal of Molecular Sciences","id":"ITEM-1","issue":"3","issued":{"date-parts":[["2013"]]},"page":"6116-6143","title":"Cadmium-Induced Pathologies: Where Is the Oxidative Balance Lost (or Not)?","type":"article","volume":"14"},"uris":["http://www.mendeley.com/documents/?uuid=65a02d04-1c58-43a5-9077-a2eeb678e19f"]},{"id":"ITEM-2","itemData":{"author":[{"dropping-particle":"","family":"Sharma","given":"Neeta","non-dropping-particle":"","parse-names":false,"suffix":""}],"container-title":"Biological Controls for Preventing Food Deterioration","id":"ITEM-2","issued":{"date-parts":[["2014"]]},"page":"1-25","publisher":"Wiley Online Library","title":"Biologicals","type":"article-journal"},"uris":["http://www.mendeley.com/documents/?uuid=d90effdd-c680-4e91-b7ef-3e21fe87d0da"]}],"mendeley":{"formattedCitation":"(Nair &lt;i&gt;et al.&lt;/i&gt;, 2013; Sharma, 2014)","plainTextFormattedCitation":"(Nair et al., 2013; Sharma, 2014)","previouslyFormattedCitation":"[13,14]"},"properties":{"noteIndex":0},"schema":"https://github.com/citation-style-language/schema/raw/master/csl-citation.json"}</w:instrText>
      </w:r>
      <w:r w:rsidR="00C338C1" w:rsidRPr="00CB39BD">
        <w:rPr>
          <w:rFonts w:asciiTheme="majorBidi" w:hAnsiTheme="majorBidi" w:cstheme="majorBidi"/>
          <w:b/>
          <w:bCs/>
          <w:sz w:val="24"/>
          <w:szCs w:val="24"/>
        </w:rPr>
        <w:fldChar w:fldCharType="separate"/>
      </w:r>
      <w:r w:rsidR="00F03936" w:rsidRPr="00CB39BD">
        <w:rPr>
          <w:rFonts w:asciiTheme="majorBidi" w:hAnsiTheme="majorBidi" w:cstheme="majorBidi"/>
          <w:b/>
          <w:bCs/>
          <w:noProof/>
          <w:sz w:val="24"/>
          <w:szCs w:val="24"/>
        </w:rPr>
        <w:t xml:space="preserve">(Nair </w:t>
      </w:r>
      <w:r w:rsidR="00F03936" w:rsidRPr="00CB39BD">
        <w:rPr>
          <w:rFonts w:asciiTheme="majorBidi" w:hAnsiTheme="majorBidi" w:cstheme="majorBidi"/>
          <w:b/>
          <w:bCs/>
          <w:i/>
          <w:noProof/>
          <w:sz w:val="24"/>
          <w:szCs w:val="24"/>
        </w:rPr>
        <w:t>et al.</w:t>
      </w:r>
      <w:r w:rsidR="00F03936" w:rsidRPr="00CB39BD">
        <w:rPr>
          <w:rFonts w:asciiTheme="majorBidi" w:hAnsiTheme="majorBidi" w:cstheme="majorBidi"/>
          <w:b/>
          <w:bCs/>
          <w:noProof/>
          <w:sz w:val="24"/>
          <w:szCs w:val="24"/>
        </w:rPr>
        <w:t>, 2013; Sharma, 2014)</w:t>
      </w:r>
      <w:r w:rsidR="00C338C1" w:rsidRPr="00CB39BD">
        <w:rPr>
          <w:rFonts w:asciiTheme="majorBidi" w:hAnsiTheme="majorBidi" w:cstheme="majorBidi"/>
          <w:b/>
          <w:bCs/>
          <w:sz w:val="24"/>
          <w:szCs w:val="24"/>
        </w:rPr>
        <w:fldChar w:fldCharType="end"/>
      </w:r>
      <w:r w:rsidRPr="006755FE">
        <w:rPr>
          <w:rFonts w:asciiTheme="majorBidi" w:hAnsiTheme="majorBidi" w:cstheme="majorBidi"/>
          <w:sz w:val="24"/>
          <w:szCs w:val="24"/>
        </w:rPr>
        <w:t xml:space="preserve">. The cellular </w:t>
      </w:r>
      <w:r w:rsidRPr="006755FE">
        <w:rPr>
          <w:rFonts w:asciiTheme="majorBidi" w:hAnsiTheme="majorBidi" w:cstheme="majorBidi"/>
          <w:sz w:val="24"/>
          <w:szCs w:val="24"/>
        </w:rPr>
        <w:lastRenderedPageBreak/>
        <w:t xml:space="preserve">oxidation-reduction equilibrium can be severely disrupted, resulting in tissue and organ dysfunction </w:t>
      </w:r>
      <w:r w:rsidRPr="00F57705">
        <w:rPr>
          <w:rFonts w:asciiTheme="majorBidi" w:hAnsiTheme="majorBidi" w:cstheme="majorBidi"/>
          <w:b/>
          <w:bCs/>
          <w:sz w:val="24"/>
          <w:szCs w:val="24"/>
        </w:rPr>
        <w:fldChar w:fldCharType="begin" w:fldLock="1"/>
      </w:r>
      <w:r w:rsidR="00F03936" w:rsidRPr="00F57705">
        <w:rPr>
          <w:rFonts w:asciiTheme="majorBidi" w:hAnsiTheme="majorBidi" w:cstheme="majorBidi"/>
          <w:b/>
          <w:bCs/>
          <w:sz w:val="24"/>
          <w:szCs w:val="24"/>
        </w:rPr>
        <w:instrText>ADDIN CSL_CITATION {"citationItems":[{"id":"ITEM-1","itemData":{"DOI":"10.3390/medsci10010007","ISSN":"20763271","PMID":"35225941","abstract":"The present study was performed to determine the protective effects of vitamin C, zinc, and N-acetylcysteine, individually or in combination with Cd, to monitor their amelioration capability against Cd-induced oxidative damage in Wistar rats. We investigated and demonstrated that cadmium is a toxic element that damages rat liver and kidney tissues. Vitamin C, zinc, and NAC have been proven to have protective roles against Cd toxic effects. Nine groups of rats were studied as the experimental group. The present experiment was conducted for 45 days. Liver and kidneys were excised for biochemical evaluation by assaying antioxidant enzymes and lipid oxidation products to assess the impact of Cd toxicity and its amelioration by co-administration of vitamin C, zinc, and NAC along with Cd. Basal metabolic rates and tissue respiration rates of liver and kidney were significantly decreased (p &amp;lt; 0.05) during Cd toxicity. Serum biochemical parameters were also found to be significantly altered to cope with Cd toxicity. All the antioxidant enzymes and products were significant inhibited (p &amp;lt; 0.05) or elevated in rat liver and kidney tissues during Cd-induced toxicity. Our results suggest that co-administration of vitamin C, zinc, and NAC to rats ameliorates oxidative damage induced by Cd toxicity. From the results obtained in the present study, all the agents tested had protective effects against Cd-induced oxidative damage.","author":[{"dropping-particle":"","family":"Poli","given":"Venkataramanaiah","non-dropping-particle":"","parse-names":false,"suffix":""},{"dropping-particle":"","family":"Madduru","given":"Renuka","non-dropping-particle":"","parse-names":false,"suffix":""},{"dropping-particle":"","family":"Aparna","given":"Yenukolu","non-dropping-particle":"","parse-names":false,"suffix":""},{"dropping-particle":"","family":"Kandukuri","given":"Vimala","non-dropping-particle":"","parse-names":false,"suffix":""},{"dropping-particle":"","family":"Motireddy","given":"Srinivasulu Reddy","non-dropping-particle":"","parse-names":false,"suffix":""}],"container-title":"Medical sciences (Basel, Switzerland)","id":"ITEM-1","issue":"1","issued":{"date-parts":[["2022"]]},"title":"Amelioration of Cadmium-Induced Oxidative Damage in Wistar Rats by Vitamin C, Zinc and N-Acetylcysteine","type":"article-journal","volume":"10"},"uris":["http://www.mendeley.com/documents/?uuid=69a1ca3b-b4cc-463e-b530-ec79067ddb66"]}],"mendeley":{"formattedCitation":"(Poli &lt;i&gt;et al.&lt;/i&gt;, 2022)","plainTextFormattedCitation":"(Poli et al., 2022)","previouslyFormattedCitation":"[15]"},"properties":{"noteIndex":0},"schema":"https://github.com/citation-style-language/schema/raw/master/csl-citation.json"}</w:instrText>
      </w:r>
      <w:r w:rsidRPr="00F57705">
        <w:rPr>
          <w:rFonts w:asciiTheme="majorBidi" w:hAnsiTheme="majorBidi" w:cstheme="majorBidi"/>
          <w:b/>
          <w:bCs/>
          <w:sz w:val="24"/>
          <w:szCs w:val="24"/>
        </w:rPr>
        <w:fldChar w:fldCharType="separate"/>
      </w:r>
      <w:r w:rsidR="00F03936" w:rsidRPr="00F57705">
        <w:rPr>
          <w:rFonts w:asciiTheme="majorBidi" w:hAnsiTheme="majorBidi" w:cstheme="majorBidi"/>
          <w:b/>
          <w:bCs/>
          <w:noProof/>
          <w:sz w:val="24"/>
          <w:szCs w:val="24"/>
        </w:rPr>
        <w:t xml:space="preserve">(Poli </w:t>
      </w:r>
      <w:r w:rsidR="00F03936" w:rsidRPr="00F57705">
        <w:rPr>
          <w:rFonts w:asciiTheme="majorBidi" w:hAnsiTheme="majorBidi" w:cstheme="majorBidi"/>
          <w:b/>
          <w:bCs/>
          <w:i/>
          <w:noProof/>
          <w:sz w:val="24"/>
          <w:szCs w:val="24"/>
        </w:rPr>
        <w:t>et al.</w:t>
      </w:r>
      <w:r w:rsidR="00F03936" w:rsidRPr="00F57705">
        <w:rPr>
          <w:rFonts w:asciiTheme="majorBidi" w:hAnsiTheme="majorBidi" w:cstheme="majorBidi"/>
          <w:b/>
          <w:bCs/>
          <w:noProof/>
          <w:sz w:val="24"/>
          <w:szCs w:val="24"/>
        </w:rPr>
        <w:t>, 2022)</w:t>
      </w:r>
      <w:r w:rsidRPr="00F57705">
        <w:rPr>
          <w:rFonts w:asciiTheme="majorBidi" w:hAnsiTheme="majorBidi" w:cstheme="majorBidi"/>
          <w:b/>
          <w:bCs/>
          <w:sz w:val="24"/>
          <w:szCs w:val="24"/>
        </w:rPr>
        <w:fldChar w:fldCharType="end"/>
      </w:r>
      <w:r w:rsidRPr="006755FE">
        <w:rPr>
          <w:rFonts w:asciiTheme="majorBidi" w:hAnsiTheme="majorBidi" w:cstheme="majorBidi"/>
          <w:sz w:val="24"/>
          <w:szCs w:val="24"/>
        </w:rPr>
        <w:t>.</w:t>
      </w:r>
    </w:p>
    <w:p w14:paraId="529306A7" w14:textId="54A6B3C8" w:rsidR="006755FE" w:rsidRPr="006755FE" w:rsidRDefault="006755FE" w:rsidP="00B45133">
      <w:pPr>
        <w:bidi w:val="0"/>
        <w:spacing w:after="0" w:line="360" w:lineRule="auto"/>
        <w:ind w:right="29" w:firstLine="720"/>
        <w:jc w:val="both"/>
        <w:rPr>
          <w:rFonts w:asciiTheme="majorBidi" w:hAnsiTheme="majorBidi" w:cstheme="majorBidi"/>
          <w:color w:val="000000" w:themeColor="text1"/>
          <w:sz w:val="24"/>
          <w:szCs w:val="24"/>
        </w:rPr>
      </w:pPr>
      <w:r w:rsidRPr="006755FE">
        <w:rPr>
          <w:rFonts w:asciiTheme="majorBidi" w:hAnsiTheme="majorBidi" w:cstheme="majorBidi"/>
          <w:sz w:val="24"/>
          <w:szCs w:val="24"/>
        </w:rPr>
        <w:t xml:space="preserve">Since the liver is a highly perfused organ with a large blood volume, there is strong evidence that it is a target for FU and </w:t>
      </w:r>
      <w:bookmarkStart w:id="1" w:name="_Hlk144052778"/>
      <w:r w:rsidRPr="006755FE">
        <w:rPr>
          <w:rFonts w:asciiTheme="majorBidi" w:hAnsiTheme="majorBidi" w:cstheme="majorBidi"/>
          <w:sz w:val="24"/>
          <w:szCs w:val="24"/>
        </w:rPr>
        <w:t>C</w:t>
      </w:r>
      <w:bookmarkEnd w:id="1"/>
      <w:r w:rsidRPr="006755FE">
        <w:rPr>
          <w:rFonts w:asciiTheme="majorBidi" w:hAnsiTheme="majorBidi" w:cstheme="majorBidi"/>
          <w:sz w:val="24"/>
          <w:szCs w:val="24"/>
        </w:rPr>
        <w:t xml:space="preserve">d intoxication </w:t>
      </w:r>
      <w:r w:rsidR="00C338C1" w:rsidRPr="00F57705">
        <w:rPr>
          <w:rFonts w:asciiTheme="majorBidi" w:hAnsiTheme="majorBidi" w:cstheme="majorBidi"/>
          <w:b/>
          <w:bCs/>
          <w:sz w:val="24"/>
          <w:szCs w:val="24"/>
        </w:rPr>
        <w:fldChar w:fldCharType="begin" w:fldLock="1"/>
      </w:r>
      <w:r w:rsidR="00F57705" w:rsidRPr="00F57705">
        <w:rPr>
          <w:rFonts w:asciiTheme="majorBidi" w:hAnsiTheme="majorBidi" w:cstheme="majorBidi"/>
          <w:b/>
          <w:bCs/>
          <w:sz w:val="24"/>
          <w:szCs w:val="24"/>
        </w:rPr>
        <w:instrText>ADDIN CSL_CITATION {"citationItems":[{"id":"ITEM-1","itemData":{"ISSN":"0278-6915","author":[{"dropping-particle":"","family":"Amamou","given":"Fouzia","non-dropping-particle":"","parse-names":false,"suffix":""},{"dropping-particle":"","family":"Nemmiche","given":"Said","non-dropping-particle":"","parse-names":false,"suffix":""},{"dropping-particle":"","family":"kaouthar Meziane","given":"Radjaa","non-dropping-particle":"","parse-names":false,"suffix":""},{"dropping-particle":"","family":"Didi","given":"Amal","non-dropping-particle":"","parse-names":false,"suffix":""},{"dropping-particle":"","family":"Yazit","given":"Sidi Mohamed","non-dropping-particle":"","parse-names":false,"suffix":""},{"dropping-particle":"","family":"Chabane-Sari","given":"Daoudi","non-dropping-particle":"","parse-names":false,"suffix":""}],"container-title":"Food and Chemical Toxicology","id":"ITEM-1","issued":{"date-parts":[["2015"]]},"page":"177-184","publisher":"Elsevier","title":"Protective effect of olive oil and colocynth oil against cadmium-induced oxidative stress in the liver of Wistar rats","type":"article-journal","volume":"78"},"uris":["http://www.mendeley.com/documents/?uuid=573894b0-9b7a-4feb-9324-c092b4c7be4a"]},{"id":"ITEM-2","itemData":{"DOI":"10.2478/jvetres-2019-0054","ISSN":"24508608","abstract":"Introduction: The aim of this study was to evaluate potential protective effects of propolis on furan-induced hepatic damage by assessing the levels of malondialdehyde (MDA) and reduced glutathione (GSH), antioxidant enzyme activities, and histopathological changes in the liver. Material and Methods: Albino Wistar rats were divided into six groups: a control, propolis-treated (100 mg/kg b.w./day), low-dose furan-treated (furan-L group; 2 mg/kg b.w./day), high-dose furan-treated (furan-H group; 16 mg/kg b.w./day), furan-L+propolis treated, and furan-H+propolis treated group. Propolis and furan were applied by gavage; propolis for 8 days, and furan for 20 days in furan-L groups and 10 days in furan-H groups. Results: While MDA levels were elevated in furan-treated groups, levels of GSH and activities of antioxidant enzymes decreased (p &lt; 0.001). The levels of MDA and GSH and activities of antioxidant enzymes were normal in the furan+propolis groups, especially in the furan-L+propolis group (p &lt; 0.001). While the aspartate transaminase, alanine transaminase, alkaline phosphatase, and lactate pdehydrogenase activities were elevated in the furan-H treated group (p &lt; 0.05 and p &lt; 0.001), they were unchanged in the furan-L treated group. Histopathologically, several lesions were observed in the liver tissues of the furan-treated groups, especially in the higher-dose group. It was determined that these changes were milder in both of the furan+propolis groups. Conclusion: The results indicate that propolis exhibits good hepatoprotective and antioxidant potential against furan-induced hepatocellular damage in rats.","author":[{"dropping-particle":"","family":"Kaya","given":"Emre","non-dropping-particle":"","parse-names":false,"suffix":""},{"dropping-particle":"","family":"Yılmaz","given":"Seval","non-dropping-particle":"","parse-names":false,"suffix":""},{"dropping-particle":"","family":"Ceribasi","given":"Songul","non-dropping-particle":"","parse-names":false,"suffix":""}],"container-title":"Journal of Veterinary Research (Poland)","id":"ITEM-2","issue":"3","issued":{"date-parts":[["2019"]]},"page":"423-431","title":"Protective role of propolis on low and high dose furan-induced hepatotoxicity and oxidative stress in rats","type":"article-journal","volume":"63"},"uris":["http://www.mendeley.com/documents/?uuid=2d39a35c-aca6-4345-bec9-8762bfe3dc73"]},{"id":"ITEM-3","itemData":{"DOI":"10.1016/j.toxrep.2019.06.013","ISSN":"22147500","abstract":"The study was designed to clarify the hapato-nephroprotective effects of purslane ethanolic extract (PEE) against cadmium toxicity. Cadmium (Cd) is a toxic heavy metal. Cd occurs as environmental and food/ feed contamination causing public and animals health hazards. Liver and kidney are the main target organs for acute and chronic cadmium toxicity. Portulaca oleracea is rich in several vitamins, minerals, antioxidant components, and omega-3 fatty acids mainly α-linolenic acid and eicosapentaenoic acid. Results showed significant elevation of the liver and kidney functions, lipid profile and lipid peroxidation. In contrast to the antioxidants enzymatic were greatly decreased. The hepatic and renal tissues showed severe degeneration and necrosis accompanied by severe congestion and multifocal hemorrhages in Cd intoxicated rats. All parameters and tissues showed no changes in rates-treated with both Cd and purslane extract as compared with the control rats. The administration of PEE provided a signiﬁcantly protection against Cd-induced hepato-nephrotoxicity.","author":[{"dropping-particle":"","family":"Seif","given":"Mohamed M.","non-dropping-particle":"","parse-names":false,"suffix":""},{"dropping-particle":"","family":"Madboli","given":"Abdel Naser","non-dropping-particle":"","parse-names":false,"suffix":""},{"dropping-particle":"","family":"Marrez","given":"Diaa A.","non-dropping-particle":"","parse-names":false,"suffix":""},{"dropping-particle":"","family":"Aboulthana","given":"Wael M.K.","non-dropping-particle":"","parse-names":false,"suffix":""}],"container-title":"Toxicology Reports","id":"ITEM-3","issue":"March","issued":{"date-parts":[["2019"]]},"page":"625-631","publisher":"Elsevier","title":"Hepato-Renal protective Effects of Egyptian Purslane Extract against Experimental Cadmium Toxicity in Rats with Special Emphasis on the Functional and Histopathological Changes","type":"article-journal","volume":"6"},"uris":["http://www.mendeley.com/documents/?uuid=f8187240-fa06-4774-b5a9-3a0a6fba9247"]},{"id":"ITEM-4","itemData":{"DOI":"10.1016/j.biopha.2021.111588","ISSN":"0753-3322","author":[{"dropping-particle":"","family":"Kumar","given":"Abhishek","non-dropping-particle":"","parse-names":false,"suffix":""},{"dropping-particle":"","family":"Siddiqi","given":"Nikhat J","non-dropping-particle":"","parse-names":false,"suffix":""},{"dropping-particle":"","family":"Alrashood","given":"Sara T","non-dropping-particle":"","parse-names":false,"suffix":""},{"dropping-particle":"","family":"Khan","given":"Haseeb A","non-dropping-particle":"","parse-names":false,"suffix":""},{"dropping-particle":"","family":"Dubey","given":"Anchal","non-dropping-particle":"","parse-names":false,"suffix":""},{"dropping-particle":"","family":"Sharma","given":"Bechan","non-dropping-particle":"","parse-names":false,"suffix":""}],"container-title":"Biomedicine &amp; Pharmacotherapy","id":"ITEM-4","issue":"December 2020","issued":{"date-parts":[["2021"]]},"page":"111588","publisher":"Elsevier Masson SAS","title":"Biomedicine &amp; Pharmacotherapy Protective effect of eugenol on hepatic inflammation and oxidative stress induced by cadmium in male rats","type":"article-journal","volume":"139"},"uris":["http://www.mendeley.com/documents/?uuid=118481dc-aaff-4297-ba98-66fe052febfe"]},{"id":"ITEM-5","itemData":{"DOI":"10.1016/j.biopha.2022.112934","ISSN":"0753-3322","author":[{"dropping-particle":"","family":"Kousar","given":"Kiran","non-dropping-particle":"","parse-names":false,"suffix":""},{"dropping-particle":"","family":"Umar","given":"Muhammad","non-dropping-particle":"","parse-names":false,"suffix":""},{"dropping-particle":"","family":"Ehsan","given":"Nazia","non-dropping-particle":"","parse-names":false,"suffix":""},{"dropping-particle":"","family":"Tahir","given":"Arfa","non-dropping-particle":"","parse-names":false,"suffix":""},{"dropping-particle":"","family":"Kertas","given":"Derya","non-dropping-particle":"","parse-names":false,"suffix":""},{"dropping-particle":"","family":"Kabir","given":"M Neamul","non-droppin</w:instrText>
      </w:r>
      <w:r w:rsidR="00F57705" w:rsidRPr="00F57705">
        <w:rPr>
          <w:rFonts w:asciiTheme="majorBidi" w:hAnsiTheme="majorBidi" w:cstheme="majorBidi"/>
          <w:b/>
          <w:bCs/>
          <w:sz w:val="24"/>
          <w:szCs w:val="24"/>
          <w:lang w:val="fr-FR"/>
        </w:rPr>
        <w:instrText>g-particle":"","parse-names":false,"suffix":""},{"dropping-particle":"","family":"Jamal","given":"Shaikh","non-dropping-particle":"","parse-names":false,"suffix":""},{"dropping-particle":"","family":"Ashraf","given":"Asma","non-dropping-particle":"","parse-names":false,"suffix":""},{"dropping-particle":"","family":"Simal-gandara","given":"Jesus","non-dropping-particle":"","parse-names":false,"suffix":""}],"container-title":"Biomedicine &amp; Pharmacotherapy","id":"ITEM-5","issued":{"date-parts":[["2022"]]},"page":"112934","publisher":"Elsevier Masson SAS","title":"Biomedicine &amp; Pharmacotherapy Hepatoprotective role of vitexin against cadmium-induced liver damage in male rats : A biochemical , inflammatory , apoptotic and histopathological investigation","type":"article-journal","volume":"150"},"uris":["http://www.mendeley.com/documents/?uuid=fb13d946-5d6c-49c3-95ff-54b823f689e0"]}],"mendeley":{"formattedCitation":"(Amamou &lt;i&gt;et al.&lt;/i&gt;, 2015; Kaya, Yılmaz and Ceribasi, 2019b; Seif &lt;i&gt;et al.&lt;/i&gt;, 2019; Kumar &lt;i&gt;et al.&lt;/i&gt;, 2021; Kousar &lt;i&gt;et al.&lt;/i&gt;, 2022)","manualFormatting":"(Amamou et al., 2015; Kaya et al., 2019b; Seif et al., 2019; Kumar et al., 2021; Kousar et al., 2022)","plainTextFormattedCitation":"(Amamou et al., 2015; Kaya, Yılmaz and Ceribasi, 2019b; Seif et al., 2019; Kumar et al., 2021; Kousar et al., 2022)","previouslyFormattedCitation":"[16–20]"},"properties":{"noteIndex":0},"schema":"https://github.com/citation-style-language/schema/raw/master/csl-citation.json"}</w:instrText>
      </w:r>
      <w:r w:rsidR="00C338C1" w:rsidRPr="00F57705">
        <w:rPr>
          <w:rFonts w:asciiTheme="majorBidi" w:hAnsiTheme="majorBidi" w:cstheme="majorBidi"/>
          <w:b/>
          <w:bCs/>
          <w:sz w:val="24"/>
          <w:szCs w:val="24"/>
        </w:rPr>
        <w:fldChar w:fldCharType="separate"/>
      </w:r>
      <w:r w:rsidR="00F03936" w:rsidRPr="00F57705">
        <w:rPr>
          <w:rFonts w:asciiTheme="majorBidi" w:hAnsiTheme="majorBidi" w:cstheme="majorBidi"/>
          <w:b/>
          <w:bCs/>
          <w:noProof/>
          <w:sz w:val="24"/>
          <w:szCs w:val="24"/>
          <w:lang w:val="fr-FR"/>
        </w:rPr>
        <w:t xml:space="preserve">(Amamou </w:t>
      </w:r>
      <w:r w:rsidR="00F03936" w:rsidRPr="00F57705">
        <w:rPr>
          <w:rFonts w:asciiTheme="majorBidi" w:hAnsiTheme="majorBidi" w:cstheme="majorBidi"/>
          <w:b/>
          <w:bCs/>
          <w:i/>
          <w:noProof/>
          <w:sz w:val="24"/>
          <w:szCs w:val="24"/>
          <w:lang w:val="fr-FR"/>
        </w:rPr>
        <w:t>et al.</w:t>
      </w:r>
      <w:r w:rsidR="00F03936" w:rsidRPr="00F57705">
        <w:rPr>
          <w:rFonts w:asciiTheme="majorBidi" w:hAnsiTheme="majorBidi" w:cstheme="majorBidi"/>
          <w:b/>
          <w:bCs/>
          <w:noProof/>
          <w:sz w:val="24"/>
          <w:szCs w:val="24"/>
          <w:lang w:val="fr-FR"/>
        </w:rPr>
        <w:t xml:space="preserve">, 2015; </w:t>
      </w:r>
      <w:r w:rsidR="00F57705" w:rsidRPr="00F57705">
        <w:rPr>
          <w:rFonts w:asciiTheme="majorBidi" w:hAnsiTheme="majorBidi" w:cstheme="majorBidi"/>
          <w:b/>
          <w:bCs/>
          <w:noProof/>
          <w:sz w:val="24"/>
          <w:szCs w:val="24"/>
          <w:lang w:val="fr-FR"/>
        </w:rPr>
        <w:t xml:space="preserve">Kaya </w:t>
      </w:r>
      <w:r w:rsidR="00F57705" w:rsidRPr="00F57705">
        <w:rPr>
          <w:rFonts w:asciiTheme="majorBidi" w:hAnsiTheme="majorBidi" w:cstheme="majorBidi"/>
          <w:b/>
          <w:bCs/>
          <w:i/>
          <w:iCs/>
          <w:noProof/>
          <w:sz w:val="24"/>
          <w:szCs w:val="24"/>
          <w:lang w:val="fr-FR"/>
        </w:rPr>
        <w:t>et al</w:t>
      </w:r>
      <w:r w:rsidR="00F57705" w:rsidRPr="00F57705">
        <w:rPr>
          <w:rFonts w:asciiTheme="majorBidi" w:hAnsiTheme="majorBidi" w:cstheme="majorBidi"/>
          <w:b/>
          <w:bCs/>
          <w:noProof/>
          <w:sz w:val="24"/>
          <w:szCs w:val="24"/>
          <w:lang w:val="fr-FR"/>
        </w:rPr>
        <w:t>., 2019b</w:t>
      </w:r>
      <w:r w:rsidR="00F03936" w:rsidRPr="00F57705">
        <w:rPr>
          <w:rFonts w:asciiTheme="majorBidi" w:hAnsiTheme="majorBidi" w:cstheme="majorBidi"/>
          <w:b/>
          <w:bCs/>
          <w:noProof/>
          <w:sz w:val="24"/>
          <w:szCs w:val="24"/>
          <w:lang w:val="fr-FR"/>
        </w:rPr>
        <w:t xml:space="preserve">; Seif </w:t>
      </w:r>
      <w:r w:rsidR="00F03936" w:rsidRPr="00F57705">
        <w:rPr>
          <w:rFonts w:asciiTheme="majorBidi" w:hAnsiTheme="majorBidi" w:cstheme="majorBidi"/>
          <w:b/>
          <w:bCs/>
          <w:i/>
          <w:noProof/>
          <w:sz w:val="24"/>
          <w:szCs w:val="24"/>
          <w:lang w:val="fr-FR"/>
        </w:rPr>
        <w:t>et al.</w:t>
      </w:r>
      <w:r w:rsidR="00F03936" w:rsidRPr="00F57705">
        <w:rPr>
          <w:rFonts w:asciiTheme="majorBidi" w:hAnsiTheme="majorBidi" w:cstheme="majorBidi"/>
          <w:b/>
          <w:bCs/>
          <w:noProof/>
          <w:sz w:val="24"/>
          <w:szCs w:val="24"/>
          <w:lang w:val="fr-FR"/>
        </w:rPr>
        <w:t xml:space="preserve">, 2019; Kumar </w:t>
      </w:r>
      <w:r w:rsidR="00F03936" w:rsidRPr="00F57705">
        <w:rPr>
          <w:rFonts w:asciiTheme="majorBidi" w:hAnsiTheme="majorBidi" w:cstheme="majorBidi"/>
          <w:b/>
          <w:bCs/>
          <w:i/>
          <w:noProof/>
          <w:sz w:val="24"/>
          <w:szCs w:val="24"/>
          <w:lang w:val="fr-FR"/>
        </w:rPr>
        <w:t>et al.</w:t>
      </w:r>
      <w:r w:rsidR="00F03936" w:rsidRPr="00F57705">
        <w:rPr>
          <w:rFonts w:asciiTheme="majorBidi" w:hAnsiTheme="majorBidi" w:cstheme="majorBidi"/>
          <w:b/>
          <w:bCs/>
          <w:noProof/>
          <w:sz w:val="24"/>
          <w:szCs w:val="24"/>
          <w:lang w:val="fr-FR"/>
        </w:rPr>
        <w:t xml:space="preserve">, 2021; Kousar </w:t>
      </w:r>
      <w:r w:rsidR="00F03936" w:rsidRPr="00F57705">
        <w:rPr>
          <w:rFonts w:asciiTheme="majorBidi" w:hAnsiTheme="majorBidi" w:cstheme="majorBidi"/>
          <w:b/>
          <w:bCs/>
          <w:i/>
          <w:noProof/>
          <w:sz w:val="24"/>
          <w:szCs w:val="24"/>
          <w:lang w:val="fr-FR"/>
        </w:rPr>
        <w:t>et al.</w:t>
      </w:r>
      <w:r w:rsidR="00F03936" w:rsidRPr="00F57705">
        <w:rPr>
          <w:rFonts w:asciiTheme="majorBidi" w:hAnsiTheme="majorBidi" w:cstheme="majorBidi"/>
          <w:b/>
          <w:bCs/>
          <w:noProof/>
          <w:sz w:val="24"/>
          <w:szCs w:val="24"/>
          <w:lang w:val="fr-FR"/>
        </w:rPr>
        <w:t>, 2022)</w:t>
      </w:r>
      <w:r w:rsidR="00C338C1" w:rsidRPr="00F57705">
        <w:rPr>
          <w:rFonts w:asciiTheme="majorBidi" w:hAnsiTheme="majorBidi" w:cstheme="majorBidi"/>
          <w:b/>
          <w:bCs/>
          <w:sz w:val="24"/>
          <w:szCs w:val="24"/>
        </w:rPr>
        <w:fldChar w:fldCharType="end"/>
      </w:r>
      <w:r w:rsidRPr="00F03936">
        <w:rPr>
          <w:rFonts w:asciiTheme="majorBidi" w:hAnsiTheme="majorBidi" w:cstheme="majorBidi"/>
          <w:sz w:val="24"/>
          <w:szCs w:val="24"/>
          <w:lang w:val="fr-FR"/>
        </w:rPr>
        <w:t xml:space="preserve">. </w:t>
      </w:r>
      <w:r w:rsidRPr="006755FE">
        <w:rPr>
          <w:rFonts w:asciiTheme="majorBidi" w:hAnsiTheme="majorBidi" w:cstheme="majorBidi"/>
          <w:sz w:val="24"/>
          <w:szCs w:val="24"/>
        </w:rPr>
        <w:t>Furthermore, because the liver has an abundance of enzymes that break down xenobiotics, it serves as the primary location for xenobiotic metabolism.</w:t>
      </w:r>
      <w:r w:rsidRPr="006755FE">
        <w:rPr>
          <w:rFonts w:asciiTheme="majorBidi" w:hAnsiTheme="majorBidi" w:cstheme="majorBidi"/>
          <w:color w:val="000000" w:themeColor="text1"/>
          <w:sz w:val="24"/>
          <w:szCs w:val="24"/>
        </w:rPr>
        <w:t xml:space="preserve"> Based on the Based on </w:t>
      </w:r>
      <w:proofErr w:type="gramStart"/>
      <w:r w:rsidRPr="006755FE">
        <w:rPr>
          <w:rFonts w:asciiTheme="majorBidi" w:hAnsiTheme="majorBidi" w:cstheme="majorBidi"/>
          <w:color w:val="000000" w:themeColor="text1"/>
          <w:sz w:val="24"/>
          <w:szCs w:val="24"/>
        </w:rPr>
        <w:t>the aforementioned, in</w:t>
      </w:r>
      <w:proofErr w:type="gramEnd"/>
      <w:r w:rsidRPr="006755FE">
        <w:rPr>
          <w:rFonts w:asciiTheme="majorBidi" w:hAnsiTheme="majorBidi" w:cstheme="majorBidi"/>
          <w:color w:val="000000" w:themeColor="text1"/>
          <w:sz w:val="24"/>
          <w:szCs w:val="24"/>
        </w:rPr>
        <w:t xml:space="preserve"> many circumstances,</w:t>
      </w:r>
      <w:r w:rsidRPr="006755FE">
        <w:rPr>
          <w:rFonts w:asciiTheme="majorBidi" w:hAnsiTheme="majorBidi" w:cstheme="majorBidi"/>
          <w:sz w:val="24"/>
          <w:szCs w:val="24"/>
        </w:rPr>
        <w:t xml:space="preserve"> </w:t>
      </w:r>
      <w:r w:rsidRPr="006755FE">
        <w:rPr>
          <w:rFonts w:asciiTheme="majorBidi" w:hAnsiTheme="majorBidi" w:cstheme="majorBidi"/>
          <w:color w:val="000000" w:themeColor="text1"/>
          <w:sz w:val="24"/>
          <w:szCs w:val="24"/>
        </w:rPr>
        <w:t xml:space="preserve">FU and Cd are </w:t>
      </w:r>
      <w:r w:rsidRPr="006755FE">
        <w:rPr>
          <w:rFonts w:asciiTheme="majorBidi" w:hAnsiTheme="majorBidi" w:cstheme="majorBidi"/>
          <w:sz w:val="24"/>
          <w:szCs w:val="24"/>
        </w:rPr>
        <w:t xml:space="preserve">consumed by humans and farm animals </w:t>
      </w:r>
      <w:r w:rsidRPr="006755FE">
        <w:rPr>
          <w:rFonts w:asciiTheme="majorBidi" w:hAnsiTheme="majorBidi" w:cstheme="majorBidi"/>
          <w:color w:val="000000" w:themeColor="text1"/>
          <w:sz w:val="24"/>
          <w:szCs w:val="24"/>
        </w:rPr>
        <w:t xml:space="preserve">through their foods and water, it was important to monitor the level of toxicity following combined exposure to them. </w:t>
      </w:r>
      <w:r w:rsidRPr="006755FE">
        <w:rPr>
          <w:rFonts w:asciiTheme="majorBidi" w:hAnsiTheme="majorBidi" w:cstheme="majorBidi"/>
          <w:sz w:val="24"/>
          <w:szCs w:val="24"/>
        </w:rPr>
        <w:t>To the best of our knowledge, a literature survey divulges that, until date, there is no toxicological investigations about the potential impact of combined exposure to FU and Cd on the liver. Therefore, the current investigation set out to ascertain how FU and/or Cd affected liver function measures, oxidative stress markers, histopathological structure, and immunohistochemistry.</w:t>
      </w:r>
    </w:p>
    <w:p w14:paraId="6D7304D7" w14:textId="77777777" w:rsidR="006755FE" w:rsidRPr="006755FE" w:rsidRDefault="006755FE" w:rsidP="00B45133">
      <w:pPr>
        <w:pStyle w:val="ListParagraph"/>
        <w:numPr>
          <w:ilvl w:val="0"/>
          <w:numId w:val="1"/>
        </w:numPr>
        <w:bidi w:val="0"/>
        <w:spacing w:before="240" w:after="0" w:line="360" w:lineRule="auto"/>
        <w:ind w:left="274" w:hanging="274"/>
        <w:rPr>
          <w:rFonts w:asciiTheme="majorBidi" w:hAnsiTheme="majorBidi" w:cstheme="majorBidi"/>
          <w:b/>
          <w:bCs/>
          <w:sz w:val="24"/>
          <w:szCs w:val="24"/>
        </w:rPr>
      </w:pPr>
      <w:r w:rsidRPr="006755FE">
        <w:rPr>
          <w:rFonts w:asciiTheme="majorBidi" w:hAnsiTheme="majorBidi" w:cstheme="majorBidi"/>
          <w:b/>
          <w:bCs/>
          <w:sz w:val="24"/>
          <w:szCs w:val="24"/>
        </w:rPr>
        <w:t>MATERIALS AND METHODS</w:t>
      </w:r>
    </w:p>
    <w:p w14:paraId="708D9394" w14:textId="77777777" w:rsidR="006755FE" w:rsidRPr="006755FE" w:rsidRDefault="006755FE" w:rsidP="004E58C9">
      <w:pPr>
        <w:bidi w:val="0"/>
        <w:spacing w:before="120" w:after="0" w:line="360" w:lineRule="auto"/>
        <w:rPr>
          <w:rFonts w:asciiTheme="majorBidi" w:hAnsiTheme="majorBidi" w:cstheme="majorBidi"/>
          <w:b/>
          <w:bCs/>
          <w:sz w:val="24"/>
          <w:szCs w:val="24"/>
        </w:rPr>
      </w:pPr>
      <w:r w:rsidRPr="006755FE">
        <w:rPr>
          <w:rFonts w:asciiTheme="majorBidi" w:hAnsiTheme="majorBidi" w:cstheme="majorBidi"/>
          <w:b/>
          <w:bCs/>
          <w:sz w:val="24"/>
          <w:szCs w:val="24"/>
        </w:rPr>
        <w:t>2.1. Chemicals:</w:t>
      </w:r>
    </w:p>
    <w:p w14:paraId="02638F21" w14:textId="77777777" w:rsidR="006755FE" w:rsidRPr="006755FE" w:rsidRDefault="006755FE" w:rsidP="00772656">
      <w:pPr>
        <w:bidi w:val="0"/>
        <w:spacing w:after="0" w:line="360" w:lineRule="auto"/>
        <w:ind w:right="29" w:firstLine="720"/>
        <w:jc w:val="both"/>
        <w:rPr>
          <w:rFonts w:asciiTheme="majorBidi" w:hAnsiTheme="majorBidi" w:cstheme="majorBidi"/>
          <w:sz w:val="24"/>
          <w:szCs w:val="24"/>
        </w:rPr>
      </w:pPr>
      <w:r w:rsidRPr="00772656">
        <w:rPr>
          <w:rFonts w:asciiTheme="majorBidi" w:hAnsiTheme="majorBidi" w:cstheme="majorBidi"/>
          <w:color w:val="000000" w:themeColor="text1"/>
          <w:sz w:val="24"/>
          <w:szCs w:val="24"/>
        </w:rPr>
        <w:t>Tetrahydrofuran</w:t>
      </w:r>
      <w:r w:rsidRPr="006755FE">
        <w:rPr>
          <w:rFonts w:asciiTheme="majorBidi" w:eastAsia="Calibri" w:hAnsiTheme="majorBidi" w:cstheme="majorBidi"/>
          <w:color w:val="000000"/>
          <w:sz w:val="24"/>
          <w:szCs w:val="24"/>
        </w:rPr>
        <w:t xml:space="preserve"> (CAS No. 109-99-9; 99.5% Extra pure; LOBA CHEMIE PVT.LTD.)</w:t>
      </w:r>
      <w:r w:rsidRPr="006755FE">
        <w:rPr>
          <w:rFonts w:asciiTheme="majorBidi" w:hAnsiTheme="majorBidi" w:cstheme="majorBidi"/>
          <w:sz w:val="24"/>
          <w:szCs w:val="24"/>
        </w:rPr>
        <w:t xml:space="preserve"> was bought from Mumbai,</w:t>
      </w:r>
      <w:r w:rsidRPr="006755FE">
        <w:rPr>
          <w:rFonts w:asciiTheme="majorBidi" w:hAnsiTheme="majorBidi" w:cstheme="majorBidi"/>
          <w:sz w:val="24"/>
          <w:szCs w:val="24"/>
          <w:rtl/>
        </w:rPr>
        <w:t xml:space="preserve"> </w:t>
      </w:r>
      <w:r w:rsidRPr="006755FE">
        <w:rPr>
          <w:rFonts w:asciiTheme="majorBidi" w:hAnsiTheme="majorBidi" w:cstheme="majorBidi"/>
          <w:sz w:val="24"/>
          <w:szCs w:val="24"/>
        </w:rPr>
        <w:t>India. The source of CdCl2 was Central Drug House Ltd. in New Delhi, India. The kits utilized for the analyses were purchased from Bio-diagnostics Company in Giza, Egypt.</w:t>
      </w:r>
    </w:p>
    <w:p w14:paraId="407689EE" w14:textId="347413BE" w:rsidR="006755FE" w:rsidRPr="006755FE" w:rsidRDefault="006755FE" w:rsidP="004E58C9">
      <w:pPr>
        <w:bidi w:val="0"/>
        <w:spacing w:before="120" w:after="0" w:line="360" w:lineRule="auto"/>
        <w:rPr>
          <w:rFonts w:asciiTheme="majorBidi" w:hAnsiTheme="majorBidi" w:cstheme="majorBidi"/>
          <w:b/>
          <w:bCs/>
        </w:rPr>
      </w:pPr>
      <w:r w:rsidRPr="006755FE">
        <w:rPr>
          <w:rFonts w:asciiTheme="majorBidi" w:hAnsiTheme="majorBidi" w:cstheme="majorBidi"/>
          <w:b/>
          <w:bCs/>
        </w:rPr>
        <w:t xml:space="preserve">2.2. </w:t>
      </w:r>
      <w:r w:rsidRPr="004E58C9">
        <w:rPr>
          <w:rFonts w:asciiTheme="majorBidi" w:hAnsiTheme="majorBidi" w:cstheme="majorBidi"/>
          <w:b/>
          <w:bCs/>
          <w:sz w:val="24"/>
          <w:szCs w:val="24"/>
        </w:rPr>
        <w:t>Experimental</w:t>
      </w:r>
      <w:r w:rsidRPr="006755FE">
        <w:rPr>
          <w:rFonts w:asciiTheme="majorBidi" w:hAnsiTheme="majorBidi" w:cstheme="majorBidi"/>
          <w:b/>
          <w:bCs/>
        </w:rPr>
        <w:t xml:space="preserve"> animals </w:t>
      </w:r>
      <w:r w:rsidRPr="006755FE">
        <w:rPr>
          <w:rStyle w:val="cf01"/>
          <w:rFonts w:asciiTheme="majorBidi" w:hAnsiTheme="majorBidi" w:cstheme="majorBidi"/>
          <w:b/>
          <w:bCs/>
          <w:sz w:val="24"/>
          <w:szCs w:val="24"/>
        </w:rPr>
        <w:t xml:space="preserve">and </w:t>
      </w:r>
      <w:r w:rsidR="004E58C9">
        <w:rPr>
          <w:rStyle w:val="cf01"/>
          <w:rFonts w:asciiTheme="majorBidi" w:hAnsiTheme="majorBidi" w:cstheme="majorBidi"/>
          <w:b/>
          <w:bCs/>
          <w:sz w:val="24"/>
          <w:szCs w:val="24"/>
        </w:rPr>
        <w:t>e</w:t>
      </w:r>
      <w:r w:rsidRPr="006755FE">
        <w:rPr>
          <w:rStyle w:val="cf01"/>
          <w:rFonts w:asciiTheme="majorBidi" w:hAnsiTheme="majorBidi" w:cstheme="majorBidi"/>
          <w:b/>
          <w:bCs/>
          <w:sz w:val="24"/>
          <w:szCs w:val="24"/>
        </w:rPr>
        <w:t xml:space="preserve">thical </w:t>
      </w:r>
      <w:r w:rsidR="004E58C9">
        <w:rPr>
          <w:rStyle w:val="cf01"/>
          <w:rFonts w:asciiTheme="majorBidi" w:hAnsiTheme="majorBidi" w:cstheme="majorBidi"/>
          <w:b/>
          <w:bCs/>
          <w:sz w:val="24"/>
          <w:szCs w:val="24"/>
        </w:rPr>
        <w:t>e</w:t>
      </w:r>
      <w:r w:rsidRPr="006755FE">
        <w:rPr>
          <w:rStyle w:val="cf01"/>
          <w:rFonts w:asciiTheme="majorBidi" w:hAnsiTheme="majorBidi" w:cstheme="majorBidi"/>
          <w:b/>
          <w:bCs/>
          <w:sz w:val="24"/>
          <w:szCs w:val="24"/>
        </w:rPr>
        <w:t>ndorsement:</w:t>
      </w:r>
    </w:p>
    <w:p w14:paraId="1E9637FF" w14:textId="77777777" w:rsidR="006755FE" w:rsidRPr="006755FE" w:rsidRDefault="006755FE" w:rsidP="00772656">
      <w:pPr>
        <w:bidi w:val="0"/>
        <w:spacing w:after="0" w:line="360" w:lineRule="auto"/>
        <w:ind w:right="29" w:firstLine="720"/>
        <w:jc w:val="both"/>
        <w:rPr>
          <w:rFonts w:asciiTheme="majorBidi" w:hAnsiTheme="majorBidi" w:cstheme="majorBidi"/>
          <w:b/>
          <w:bCs/>
          <w:sz w:val="24"/>
          <w:szCs w:val="24"/>
        </w:rPr>
      </w:pPr>
      <w:r w:rsidRPr="006755FE">
        <w:rPr>
          <w:rFonts w:asciiTheme="majorBidi" w:hAnsiTheme="majorBidi" w:cstheme="majorBidi"/>
          <w:sz w:val="24"/>
          <w:szCs w:val="24"/>
        </w:rPr>
        <w:t xml:space="preserve">Fifty Wister </w:t>
      </w:r>
      <w:r w:rsidRPr="00772656">
        <w:rPr>
          <w:rFonts w:asciiTheme="majorBidi" w:eastAsia="Calibri" w:hAnsiTheme="majorBidi" w:cstheme="majorBidi"/>
          <w:color w:val="000000"/>
          <w:sz w:val="24"/>
          <w:szCs w:val="24"/>
        </w:rPr>
        <w:t>albino</w:t>
      </w:r>
      <w:r w:rsidRPr="006755FE">
        <w:rPr>
          <w:rFonts w:asciiTheme="majorBidi" w:hAnsiTheme="majorBidi" w:cstheme="majorBidi"/>
          <w:sz w:val="24"/>
          <w:szCs w:val="24"/>
        </w:rPr>
        <w:t xml:space="preserve"> male rats weighing between 160-200 g were acquired from the Center of Laboratory Animals, Faculty of Veterinary Medicine, </w:t>
      </w:r>
      <w:proofErr w:type="spellStart"/>
      <w:r w:rsidRPr="006755FE">
        <w:rPr>
          <w:rFonts w:asciiTheme="majorBidi" w:hAnsiTheme="majorBidi" w:cstheme="majorBidi"/>
          <w:sz w:val="24"/>
          <w:szCs w:val="24"/>
        </w:rPr>
        <w:t>Benha</w:t>
      </w:r>
      <w:proofErr w:type="spellEnd"/>
      <w:r w:rsidRPr="006755FE">
        <w:rPr>
          <w:rFonts w:asciiTheme="majorBidi" w:hAnsiTheme="majorBidi" w:cstheme="majorBidi"/>
          <w:sz w:val="24"/>
          <w:szCs w:val="24"/>
        </w:rPr>
        <w:t xml:space="preserve"> University, Egypt. </w:t>
      </w:r>
      <w:r w:rsidRPr="006755FE">
        <w:rPr>
          <w:rFonts w:asciiTheme="majorBidi" w:hAnsiTheme="majorBidi" w:cstheme="majorBidi"/>
          <w:sz w:val="24"/>
          <w:szCs w:val="24"/>
          <w:lang w:bidi="ar-EG"/>
        </w:rPr>
        <w:t xml:space="preserve">Prior to the experiment, the rats were housed in metal cages that were adjusted to a temperature of 25 ± 3 °C for 14 days. They also had unlimited access to water and commercial laboratory pellets. </w:t>
      </w:r>
      <w:r w:rsidRPr="006755FE">
        <w:rPr>
          <w:rFonts w:asciiTheme="majorBidi" w:hAnsiTheme="majorBidi" w:cstheme="majorBidi"/>
          <w:sz w:val="24"/>
          <w:szCs w:val="24"/>
        </w:rPr>
        <w:t>The experimental rats complied with the Faculty of Veterinary Medicine's Research Ethical Committee's (BUFVTM 01–05–23) morally acceptable protocols for the care and use of laboratory animals.</w:t>
      </w:r>
    </w:p>
    <w:p w14:paraId="03EEF587" w14:textId="77777777" w:rsidR="006755FE" w:rsidRPr="00240352" w:rsidRDefault="006755FE" w:rsidP="00772656">
      <w:pPr>
        <w:bidi w:val="0"/>
        <w:spacing w:before="120" w:after="0" w:line="360" w:lineRule="auto"/>
        <w:rPr>
          <w:rFonts w:asciiTheme="majorBidi" w:hAnsiTheme="majorBidi" w:cstheme="majorBidi"/>
          <w:b/>
          <w:bCs/>
          <w:sz w:val="24"/>
          <w:szCs w:val="24"/>
        </w:rPr>
      </w:pPr>
      <w:r w:rsidRPr="00240352">
        <w:rPr>
          <w:rFonts w:asciiTheme="majorBidi" w:hAnsiTheme="majorBidi" w:cstheme="majorBidi"/>
          <w:b/>
          <w:bCs/>
          <w:sz w:val="24"/>
          <w:szCs w:val="24"/>
        </w:rPr>
        <w:t>2.3. Experimental design:</w:t>
      </w:r>
    </w:p>
    <w:p w14:paraId="014DDEE4" w14:textId="4D78DAAD" w:rsidR="006755FE" w:rsidRPr="006755FE" w:rsidRDefault="006755FE" w:rsidP="00772656">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Rats were randomly allocated to five equal experimental groups (n</w:t>
      </w:r>
      <w:r w:rsidR="00226945">
        <w:rPr>
          <w:rFonts w:asciiTheme="majorBidi" w:hAnsiTheme="majorBidi" w:cstheme="majorBidi"/>
          <w:sz w:val="24"/>
          <w:szCs w:val="24"/>
        </w:rPr>
        <w:t xml:space="preserve"> </w:t>
      </w:r>
      <w:r w:rsidRPr="006755FE">
        <w:rPr>
          <w:rFonts w:asciiTheme="majorBidi" w:hAnsiTheme="majorBidi" w:cstheme="majorBidi"/>
          <w:sz w:val="24"/>
          <w:szCs w:val="24"/>
        </w:rPr>
        <w:t>=</w:t>
      </w:r>
      <w:r w:rsidR="00226945">
        <w:rPr>
          <w:rFonts w:asciiTheme="majorBidi" w:hAnsiTheme="majorBidi" w:cstheme="majorBidi"/>
          <w:sz w:val="24"/>
          <w:szCs w:val="24"/>
        </w:rPr>
        <w:t xml:space="preserve"> 6/group</w:t>
      </w:r>
      <w:r w:rsidRPr="006755FE">
        <w:rPr>
          <w:rFonts w:asciiTheme="majorBidi" w:hAnsiTheme="majorBidi" w:cstheme="majorBidi"/>
          <w:sz w:val="24"/>
          <w:szCs w:val="24"/>
        </w:rPr>
        <w:t>). Group 1(Cr-water)</w:t>
      </w:r>
      <w:r w:rsidR="000A5BBF">
        <w:rPr>
          <w:rFonts w:asciiTheme="majorBidi" w:hAnsiTheme="majorBidi" w:cstheme="majorBidi"/>
          <w:sz w:val="24"/>
          <w:szCs w:val="24"/>
        </w:rPr>
        <w:t>;</w:t>
      </w:r>
      <w:r w:rsidRPr="006755FE">
        <w:rPr>
          <w:rFonts w:asciiTheme="majorBidi" w:hAnsiTheme="majorBidi" w:cstheme="majorBidi"/>
          <w:sz w:val="24"/>
          <w:szCs w:val="24"/>
        </w:rPr>
        <w:t xml:space="preserve"> received</w:t>
      </w:r>
      <w:bookmarkStart w:id="2" w:name="_Hlk40898290"/>
      <w:r w:rsidRPr="006755FE">
        <w:rPr>
          <w:rFonts w:asciiTheme="majorBidi" w:hAnsiTheme="majorBidi" w:cstheme="majorBidi"/>
          <w:sz w:val="24"/>
          <w:szCs w:val="24"/>
        </w:rPr>
        <w:t xml:space="preserve"> DI water.</w:t>
      </w:r>
      <w:bookmarkEnd w:id="2"/>
      <w:r w:rsidRPr="006755FE">
        <w:rPr>
          <w:rFonts w:asciiTheme="majorBidi" w:hAnsiTheme="majorBidi" w:cstheme="majorBidi"/>
          <w:sz w:val="24"/>
          <w:szCs w:val="24"/>
        </w:rPr>
        <w:t xml:space="preserve"> Group 2</w:t>
      </w:r>
      <w:r w:rsidR="000A5BBF">
        <w:rPr>
          <w:rFonts w:asciiTheme="majorBidi" w:hAnsiTheme="majorBidi" w:cstheme="majorBidi"/>
          <w:sz w:val="24"/>
          <w:szCs w:val="24"/>
        </w:rPr>
        <w:t xml:space="preserve"> </w:t>
      </w:r>
      <w:r w:rsidRPr="006755FE">
        <w:rPr>
          <w:rFonts w:asciiTheme="majorBidi" w:hAnsiTheme="majorBidi" w:cstheme="majorBidi"/>
          <w:sz w:val="24"/>
          <w:szCs w:val="24"/>
        </w:rPr>
        <w:t>(Cr-oil)</w:t>
      </w:r>
      <w:r w:rsidR="000A5BBF">
        <w:rPr>
          <w:rFonts w:asciiTheme="majorBidi" w:hAnsiTheme="majorBidi" w:cstheme="majorBidi"/>
          <w:sz w:val="24"/>
          <w:szCs w:val="24"/>
        </w:rPr>
        <w:t>;</w:t>
      </w:r>
      <w:r w:rsidRPr="006755FE">
        <w:rPr>
          <w:rFonts w:asciiTheme="majorBidi" w:hAnsiTheme="majorBidi" w:cstheme="majorBidi"/>
          <w:sz w:val="24"/>
          <w:szCs w:val="24"/>
        </w:rPr>
        <w:t xml:space="preserve"> received corn oil. Group 3</w:t>
      </w:r>
      <w:r w:rsidR="000A5BBF">
        <w:rPr>
          <w:rFonts w:asciiTheme="majorBidi" w:hAnsiTheme="majorBidi" w:cstheme="majorBidi"/>
          <w:sz w:val="24"/>
          <w:szCs w:val="24"/>
        </w:rPr>
        <w:t xml:space="preserve"> (FU);</w:t>
      </w:r>
      <w:r w:rsidRPr="006755FE">
        <w:rPr>
          <w:rFonts w:asciiTheme="majorBidi" w:hAnsiTheme="majorBidi" w:cstheme="majorBidi"/>
          <w:sz w:val="24"/>
          <w:szCs w:val="24"/>
        </w:rPr>
        <w:t xml:space="preserve"> received FU at a dose of 16 mg/kg </w:t>
      </w:r>
      <w:proofErr w:type="spellStart"/>
      <w:r w:rsidRPr="006755FE">
        <w:rPr>
          <w:rFonts w:asciiTheme="majorBidi" w:hAnsiTheme="majorBidi" w:cstheme="majorBidi"/>
          <w:sz w:val="24"/>
          <w:szCs w:val="24"/>
        </w:rPr>
        <w:t>b</w:t>
      </w:r>
      <w:r w:rsidRPr="00503065">
        <w:rPr>
          <w:rFonts w:asciiTheme="majorBidi" w:hAnsiTheme="majorBidi" w:cstheme="majorBidi"/>
          <w:sz w:val="24"/>
          <w:szCs w:val="24"/>
        </w:rPr>
        <w:t>.w</w:t>
      </w:r>
      <w:proofErr w:type="spellEnd"/>
      <w:r w:rsidRPr="00503065">
        <w:rPr>
          <w:rFonts w:asciiTheme="majorBidi" w:hAnsiTheme="majorBidi" w:cstheme="majorBidi"/>
          <w:sz w:val="24"/>
          <w:szCs w:val="24"/>
        </w:rPr>
        <w:t xml:space="preserve"> </w:t>
      </w:r>
      <w:r w:rsidRPr="00F57705">
        <w:rPr>
          <w:rFonts w:asciiTheme="majorBidi" w:hAnsiTheme="majorBidi" w:cstheme="majorBidi"/>
          <w:b/>
          <w:bCs/>
          <w:sz w:val="24"/>
          <w:szCs w:val="24"/>
        </w:rPr>
        <w:fldChar w:fldCharType="begin" w:fldLock="1"/>
      </w:r>
      <w:r w:rsidR="00F03936" w:rsidRPr="00F57705">
        <w:rPr>
          <w:rFonts w:asciiTheme="majorBidi" w:hAnsiTheme="majorBidi" w:cstheme="majorBidi"/>
          <w:b/>
          <w:bCs/>
          <w:sz w:val="24"/>
          <w:szCs w:val="24"/>
        </w:rPr>
        <w:instrText>ADDIN CSL_CITATION {"citationItems":[{"id":"ITEM-1","itemData":{"ISSN":"1383-5718","author":[{"dropping-particle":"","family":"McDaniel","given":"L Patrice","non-dropping-particle":"","parse-names":false,"suffix":""},{"dropping-particle":"","family":"Ding","given":"Wei","non-dropping-particle":"","parse-names":false,"suffix":""},{"dropping-particle":"","family":"Dobrovolsky","given":"Vasily N","non-dropping-particle":"","parse-names":false,"suffix":""},{"dropping-particle":"","family":"Shaddock Jr","given":"Joseph G","non-dropping-particle":"","parse-names":false,"suffix":""},{"dropping-particle":"","family":"Mittelstaedt","given":"Roberta A","non-dropping-particle":"","parse-names":false,"suffix":""},{"dropping-particle":"","family":"Doerge","given":"Daniel R","non-dropping-particle":"","parse-names":false,"suffix":""},{"dropping-particle":"","family":"Heflich","given":"Robert H","non-dropping-particle":"","parse-names":false,"suffix":""}],"container-title":"Mutation Research/Genetic Toxicology and Environmental Mutagenesis","id":"ITEM-1","issue":"1-2","issued":{"date-parts":[["2012"]]},"page":"72-78","publisher":"Elsevier","title":"Genotoxicity of furan in Big Blue rats","type":"article-journal","volume":"742"},"uris":["http://www.mendeley.com/documents/?uuid=46836266-1d8d-433b-80e5-239b82bcca00"]}],"mendeley":{"formattedCitation":"(McDaniel &lt;i&gt;et al.&lt;/i&gt;, 2012)","plainTextFormattedCitation":"(McDaniel et al., 2012)","previouslyFormattedCitation":"[21]"},"properties":{"noteIndex":0},"schema":"https://github.com/citation-style-language/schema/raw/master/csl-citation.json"}</w:instrText>
      </w:r>
      <w:r w:rsidRPr="00F57705">
        <w:rPr>
          <w:rFonts w:asciiTheme="majorBidi" w:hAnsiTheme="majorBidi" w:cstheme="majorBidi"/>
          <w:b/>
          <w:bCs/>
          <w:sz w:val="24"/>
          <w:szCs w:val="24"/>
        </w:rPr>
        <w:fldChar w:fldCharType="separate"/>
      </w:r>
      <w:r w:rsidR="00F03936" w:rsidRPr="00F57705">
        <w:rPr>
          <w:rFonts w:asciiTheme="majorBidi" w:hAnsiTheme="majorBidi" w:cstheme="majorBidi"/>
          <w:b/>
          <w:bCs/>
          <w:noProof/>
          <w:sz w:val="24"/>
          <w:szCs w:val="24"/>
        </w:rPr>
        <w:t xml:space="preserve">(McDaniel </w:t>
      </w:r>
      <w:r w:rsidR="00F03936" w:rsidRPr="00F57705">
        <w:rPr>
          <w:rFonts w:asciiTheme="majorBidi" w:hAnsiTheme="majorBidi" w:cstheme="majorBidi"/>
          <w:b/>
          <w:bCs/>
          <w:i/>
          <w:noProof/>
          <w:sz w:val="24"/>
          <w:szCs w:val="24"/>
        </w:rPr>
        <w:t>et al.</w:t>
      </w:r>
      <w:r w:rsidR="00F03936" w:rsidRPr="00F57705">
        <w:rPr>
          <w:rFonts w:asciiTheme="majorBidi" w:hAnsiTheme="majorBidi" w:cstheme="majorBidi"/>
          <w:b/>
          <w:bCs/>
          <w:noProof/>
          <w:sz w:val="24"/>
          <w:szCs w:val="24"/>
        </w:rPr>
        <w:t>, 2012)</w:t>
      </w:r>
      <w:r w:rsidRPr="00F57705">
        <w:rPr>
          <w:rFonts w:asciiTheme="majorBidi" w:hAnsiTheme="majorBidi" w:cstheme="majorBidi"/>
          <w:b/>
          <w:bCs/>
          <w:sz w:val="24"/>
          <w:szCs w:val="24"/>
        </w:rPr>
        <w:fldChar w:fldCharType="end"/>
      </w:r>
      <w:r w:rsidRPr="00503065">
        <w:rPr>
          <w:rFonts w:asciiTheme="majorBidi" w:hAnsiTheme="majorBidi" w:cstheme="majorBidi"/>
          <w:sz w:val="24"/>
          <w:szCs w:val="24"/>
        </w:rPr>
        <w:t>. Group 4</w:t>
      </w:r>
      <w:r w:rsidR="000A5BBF" w:rsidRPr="00503065">
        <w:rPr>
          <w:rFonts w:asciiTheme="majorBidi" w:hAnsiTheme="majorBidi" w:cstheme="majorBidi"/>
          <w:sz w:val="24"/>
          <w:szCs w:val="24"/>
        </w:rPr>
        <w:t xml:space="preserve"> (Cd);</w:t>
      </w:r>
      <w:r w:rsidRPr="00503065">
        <w:rPr>
          <w:rFonts w:asciiTheme="majorBidi" w:hAnsiTheme="majorBidi" w:cstheme="majorBidi"/>
          <w:sz w:val="24"/>
          <w:szCs w:val="24"/>
        </w:rPr>
        <w:t xml:space="preserve"> received Cd at a dose of 2 mg/kg </w:t>
      </w:r>
      <w:proofErr w:type="spellStart"/>
      <w:r w:rsidRPr="00503065">
        <w:rPr>
          <w:rFonts w:asciiTheme="majorBidi" w:hAnsiTheme="majorBidi" w:cstheme="majorBidi"/>
          <w:sz w:val="24"/>
          <w:szCs w:val="24"/>
        </w:rPr>
        <w:t>b.w</w:t>
      </w:r>
      <w:proofErr w:type="spellEnd"/>
      <w:r w:rsidR="002A5DE1">
        <w:rPr>
          <w:rFonts w:asciiTheme="majorBidi" w:hAnsiTheme="majorBidi" w:cstheme="majorBidi"/>
          <w:sz w:val="24"/>
          <w:szCs w:val="24"/>
        </w:rPr>
        <w:t xml:space="preserve"> </w:t>
      </w:r>
      <w:r w:rsidR="002A5DE1" w:rsidRPr="00F57705">
        <w:rPr>
          <w:rFonts w:asciiTheme="majorBidi" w:hAnsiTheme="majorBidi" w:cstheme="majorBidi"/>
          <w:b/>
          <w:bCs/>
          <w:sz w:val="24"/>
          <w:szCs w:val="24"/>
        </w:rPr>
        <w:fldChar w:fldCharType="begin" w:fldLock="1"/>
      </w:r>
      <w:r w:rsidR="00F57705" w:rsidRPr="00F57705">
        <w:rPr>
          <w:rFonts w:asciiTheme="majorBidi" w:hAnsiTheme="majorBidi" w:cstheme="majorBidi"/>
          <w:b/>
          <w:bCs/>
          <w:sz w:val="24"/>
          <w:szCs w:val="24"/>
        </w:rPr>
        <w:instrText>ADDIN CSL_CITATION {"citationItems":[{"id":"ITEM-1","itemData":{"DOI":"10.1007/s11356-019-05783-x","ISSN":"16147499","PMID":"31256392","abstract":"Cadmium (Cd) is a common environmental pollutant that threatens humans’ and animals’ health. Non-steroidal anti-inflammatory drugs (NSAIDs) are widely used drugs due to their wide therapeutic action; however, they have significant side effects. Since, under many circumstances, humans and animals may be co-exposed to Cd and NSAIDs, the current investigation was assigned to explore the intertwining relationship between Cd and NSAIDs. Four groups of male Wister rats were used: control group: rats received saline; Cd group: rats received cadmium (Cd, 2 mg/kg) orally; Px group: rats received a NSAID (piroxicam, Px, 7 mg/kg, i.p.); and Cd+Px group: rats received both Cd+Px. All treatments were given once a day for 28 consecutive days. Then, blood samples, stomach, liver, and kidney tissues were collected. The results indicated that Px provoked gastric ulcer indicated by high ulcer index, while Cd had no effect on the gastric mucosa. In addition, treatment with Cd or Px alone significantly induced liver and kidney injuries indicated by serum elevations of AST, ALT, ALP, ALB, total protein, creatinine, and urea along with histopathological alterations. Significant increases in malondialdehyde and reduction in GSH and CAT contents were reported along with up-regulated expression of Bax and Bcl-2 after Cd or Px exposure. However, when Cd and Px were given in a combination, Cd obviously potentiated the Px-inflicted cellular injury and death in the liver and kidney but not in the stomach when compared to their individual exposure. This study concluded that oxidative stress mechanisms were supposed to be the main modulator in promoting Cd and Px toxicities when given in combination.","author":[{"dropping-particle":"","family":"Abdeen","given":"Ahmed","non-dropping-particle":"","parse-names":false,"suffix":""},{"dropping-particle":"","family":"Abou-Zaid","given":"Omayma A.","non-dropping-particle":"","parse-names":false,"suffix":""},{"dropping-particle":"","family":"Abdel-Maksoud","given":"Hussein A.","non-dropping-particle":"","parse-names":false,"suffix":""},{"dropping-particle":"","family":"Aboubakr","given":"Mohamed","non-dropping-particle":"","parse-names":false,"suffix":""},{"dropping-particle":"","family":"Abdelkader","given":"Afaf","non-dropping-particle":"","parse-names":false,"suffix":""},{"dropping-particle":"","family":"Abdelnaby","given":"Amany","non-dropping-particle":"","parse-names":false,"suffix":""},{"dropping-particle":"","family":"Abo-Ahmed","given":"Ahmed I.","non-dropping-particle":"","parse-names":false,"suffix":""},{"dropping-particle":"","family":"El-Mleeh","given":"Amany","non-dropping-particle":"","parse-names":false,"suffix":""},{"dropping-particle":"","family":"Mostafa","given":"Ola","non-dropping-particle":"","parse-names":false,"suffix":""},{"dropping-particle":"","family":"Abdel-Daim","given":"Mohamed","non-dropping-particle":"","parse-names":false,"suffix":""},{"dropping-particle":"","family":"Aleya","given":"Lotfi","non-dropping-particle":"","parse-names":false,"suffix":""}],"container-title":"Environmental Science and Pollution Research","id":"ITEM-1","issue":"24","issued":{"date-parts":[["2019"]]},"page":"25167-25177","title":"Cadmium overload modulates piroxicam-regulated oxidative damage and apoptotic pathways","type":"article-journal","volume":"26"},"uris":["http://www.mendeley.com/documents/?uuid=1e561ba8-a3b4-4633-a65c-a3c5c1ee2240"]}],"mendeley":{"formattedCitation":"(Abdeen, Abou-Zaid, &lt;i&gt;et al.&lt;/i&gt;, 2019)","manualFormatting":"(Abdeen et al., 2019a)","plainTextFormattedCitation":"(Abdeen, Abou-Zaid, et al., 2019)","previouslyFormattedCitation":"[22]"},"properties":{"noteIndex":0},"schema":"https://github.com/citation-style-language/schema/raw/master/csl-citation.json"}</w:instrText>
      </w:r>
      <w:r w:rsidR="002A5DE1" w:rsidRPr="00F57705">
        <w:rPr>
          <w:rFonts w:asciiTheme="majorBidi" w:hAnsiTheme="majorBidi" w:cstheme="majorBidi"/>
          <w:b/>
          <w:bCs/>
          <w:sz w:val="24"/>
          <w:szCs w:val="24"/>
        </w:rPr>
        <w:fldChar w:fldCharType="separate"/>
      </w:r>
      <w:r w:rsidR="00F57705" w:rsidRPr="00F57705">
        <w:rPr>
          <w:rFonts w:asciiTheme="majorBidi" w:hAnsiTheme="majorBidi" w:cstheme="majorBidi"/>
          <w:b/>
          <w:bCs/>
          <w:noProof/>
          <w:sz w:val="24"/>
          <w:szCs w:val="24"/>
        </w:rPr>
        <w:t>(Abdeen</w:t>
      </w:r>
      <w:r w:rsidR="00F57705" w:rsidRPr="00F57705">
        <w:rPr>
          <w:rFonts w:asciiTheme="majorBidi" w:hAnsiTheme="majorBidi" w:cstheme="majorBidi"/>
          <w:b/>
          <w:bCs/>
          <w:i/>
          <w:iCs/>
          <w:noProof/>
          <w:sz w:val="24"/>
          <w:szCs w:val="24"/>
        </w:rPr>
        <w:t xml:space="preserve"> et al</w:t>
      </w:r>
      <w:r w:rsidR="00F57705" w:rsidRPr="00F57705">
        <w:rPr>
          <w:rFonts w:asciiTheme="majorBidi" w:hAnsiTheme="majorBidi" w:cstheme="majorBidi"/>
          <w:b/>
          <w:bCs/>
          <w:noProof/>
          <w:sz w:val="24"/>
          <w:szCs w:val="24"/>
        </w:rPr>
        <w:t>., 2019a</w:t>
      </w:r>
      <w:r w:rsidR="00F03936" w:rsidRPr="00F57705">
        <w:rPr>
          <w:rFonts w:asciiTheme="majorBidi" w:hAnsiTheme="majorBidi" w:cstheme="majorBidi"/>
          <w:b/>
          <w:bCs/>
          <w:noProof/>
          <w:sz w:val="24"/>
          <w:szCs w:val="24"/>
        </w:rPr>
        <w:t>)</w:t>
      </w:r>
      <w:r w:rsidR="002A5DE1" w:rsidRPr="00F57705">
        <w:rPr>
          <w:rFonts w:asciiTheme="majorBidi" w:hAnsiTheme="majorBidi" w:cstheme="majorBidi"/>
          <w:b/>
          <w:bCs/>
          <w:sz w:val="24"/>
          <w:szCs w:val="24"/>
        </w:rPr>
        <w:fldChar w:fldCharType="end"/>
      </w:r>
      <w:r w:rsidRPr="002A5DE1">
        <w:rPr>
          <w:rFonts w:asciiTheme="majorBidi" w:hAnsiTheme="majorBidi" w:cstheme="majorBidi"/>
          <w:sz w:val="24"/>
          <w:szCs w:val="24"/>
        </w:rPr>
        <w:t>.</w:t>
      </w:r>
      <w:r w:rsidRPr="00503065">
        <w:rPr>
          <w:rFonts w:asciiTheme="majorBidi" w:hAnsiTheme="majorBidi" w:cstheme="majorBidi"/>
          <w:sz w:val="24"/>
          <w:szCs w:val="24"/>
        </w:rPr>
        <w:t xml:space="preserve"> Group</w:t>
      </w:r>
      <w:r w:rsidRPr="006755FE">
        <w:rPr>
          <w:rFonts w:asciiTheme="majorBidi" w:hAnsiTheme="majorBidi" w:cstheme="majorBidi"/>
          <w:sz w:val="24"/>
          <w:szCs w:val="24"/>
        </w:rPr>
        <w:t xml:space="preserve"> 5</w:t>
      </w:r>
      <w:r w:rsidR="000A5BBF">
        <w:rPr>
          <w:rFonts w:asciiTheme="majorBidi" w:hAnsiTheme="majorBidi" w:cstheme="majorBidi"/>
          <w:sz w:val="24"/>
          <w:szCs w:val="24"/>
        </w:rPr>
        <w:t xml:space="preserve"> (FU+Cd);</w:t>
      </w:r>
      <w:r w:rsidRPr="006755FE">
        <w:rPr>
          <w:rFonts w:asciiTheme="majorBidi" w:hAnsiTheme="majorBidi" w:cstheme="majorBidi"/>
          <w:sz w:val="24"/>
          <w:szCs w:val="24"/>
        </w:rPr>
        <w:t xml:space="preserve"> received FU (16 mg/kg </w:t>
      </w:r>
      <w:bookmarkStart w:id="3" w:name="_Hlk148908958"/>
      <w:proofErr w:type="spellStart"/>
      <w:r w:rsidRPr="006755FE">
        <w:rPr>
          <w:rFonts w:asciiTheme="majorBidi" w:hAnsiTheme="majorBidi" w:cstheme="majorBidi"/>
          <w:sz w:val="24"/>
          <w:szCs w:val="24"/>
        </w:rPr>
        <w:t>b.w</w:t>
      </w:r>
      <w:bookmarkEnd w:id="3"/>
      <w:proofErr w:type="spellEnd"/>
      <w:r w:rsidRPr="006755FE">
        <w:rPr>
          <w:rFonts w:asciiTheme="majorBidi" w:hAnsiTheme="majorBidi" w:cstheme="majorBidi"/>
          <w:sz w:val="24"/>
          <w:szCs w:val="24"/>
        </w:rPr>
        <w:t xml:space="preserve">) + Cd (2 mg/kg </w:t>
      </w:r>
      <w:proofErr w:type="spellStart"/>
      <w:r w:rsidRPr="006755FE">
        <w:rPr>
          <w:rFonts w:asciiTheme="majorBidi" w:hAnsiTheme="majorBidi" w:cstheme="majorBidi"/>
          <w:sz w:val="24"/>
          <w:szCs w:val="24"/>
        </w:rPr>
        <w:t>b.w</w:t>
      </w:r>
      <w:proofErr w:type="spellEnd"/>
      <w:r w:rsidRPr="006755FE">
        <w:rPr>
          <w:rFonts w:asciiTheme="majorBidi" w:hAnsiTheme="majorBidi" w:cstheme="majorBidi"/>
          <w:sz w:val="24"/>
          <w:szCs w:val="24"/>
        </w:rPr>
        <w:t xml:space="preserve">). Every treatment was given orally as described above for 30 days. </w:t>
      </w:r>
    </w:p>
    <w:p w14:paraId="236C6FB3" w14:textId="77777777" w:rsidR="006755FE" w:rsidRPr="00240352" w:rsidRDefault="006755FE" w:rsidP="00240352">
      <w:pPr>
        <w:bidi w:val="0"/>
        <w:spacing w:before="120" w:after="0" w:line="360" w:lineRule="auto"/>
        <w:rPr>
          <w:rFonts w:asciiTheme="majorBidi" w:hAnsiTheme="majorBidi" w:cstheme="majorBidi"/>
          <w:b/>
          <w:bCs/>
          <w:sz w:val="24"/>
          <w:szCs w:val="24"/>
        </w:rPr>
      </w:pPr>
      <w:r w:rsidRPr="00240352">
        <w:rPr>
          <w:rFonts w:asciiTheme="majorBidi" w:hAnsiTheme="majorBidi" w:cstheme="majorBidi"/>
          <w:b/>
          <w:bCs/>
          <w:sz w:val="24"/>
          <w:szCs w:val="24"/>
        </w:rPr>
        <w:lastRenderedPageBreak/>
        <w:t>2.4. Sampling:</w:t>
      </w:r>
    </w:p>
    <w:p w14:paraId="1205F994" w14:textId="77777777" w:rsidR="006755FE" w:rsidRPr="006755FE" w:rsidRDefault="006755FE" w:rsidP="00240352">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After the end of trial, isoflurane was used as an inhalation anesthesia for drawing blood samples from the hepatic vein. After being extracted, the liver tissues were split into two sections. One section was utilized for a histological investigation, while the other was kept in storage at -80 °C for evaluation of oxidative stress indicators.</w:t>
      </w:r>
    </w:p>
    <w:p w14:paraId="3658D81F" w14:textId="77777777" w:rsidR="006755FE" w:rsidRPr="006755FE" w:rsidRDefault="006755FE" w:rsidP="00240352">
      <w:pPr>
        <w:bidi w:val="0"/>
        <w:spacing w:before="120" w:after="0" w:line="360" w:lineRule="auto"/>
        <w:rPr>
          <w:rFonts w:asciiTheme="majorBidi" w:hAnsiTheme="majorBidi" w:cstheme="majorBidi"/>
          <w:b/>
          <w:bCs/>
          <w:sz w:val="24"/>
          <w:szCs w:val="24"/>
        </w:rPr>
      </w:pPr>
      <w:r w:rsidRPr="006755FE">
        <w:rPr>
          <w:rFonts w:asciiTheme="majorBidi" w:hAnsiTheme="majorBidi" w:cstheme="majorBidi"/>
          <w:b/>
          <w:bCs/>
          <w:sz w:val="24"/>
          <w:szCs w:val="24"/>
        </w:rPr>
        <w:t>2.5. Biochemical assays:</w:t>
      </w:r>
    </w:p>
    <w:p w14:paraId="0967F11C" w14:textId="2EC49948" w:rsidR="006755FE" w:rsidRPr="006755FE" w:rsidRDefault="006755FE" w:rsidP="00240352">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 xml:space="preserve">Clotted blood samples were centrifuged at 4000 rpm for 10 min using </w:t>
      </w:r>
      <w:r w:rsidR="00240352">
        <w:rPr>
          <w:rFonts w:asciiTheme="majorBidi" w:hAnsiTheme="majorBidi" w:cstheme="majorBidi"/>
          <w:sz w:val="24"/>
          <w:szCs w:val="24"/>
        </w:rPr>
        <w:t xml:space="preserve">a </w:t>
      </w:r>
      <w:r w:rsidRPr="006755FE">
        <w:rPr>
          <w:rFonts w:asciiTheme="majorBidi" w:hAnsiTheme="majorBidi" w:cstheme="majorBidi"/>
          <w:sz w:val="24"/>
          <w:szCs w:val="24"/>
        </w:rPr>
        <w:t>cooling centrifuge (DLAB D3024R High</w:t>
      </w:r>
      <w:r w:rsidR="00240352">
        <w:rPr>
          <w:rFonts w:asciiTheme="majorBidi" w:hAnsiTheme="majorBidi" w:cstheme="majorBidi"/>
          <w:sz w:val="24"/>
          <w:szCs w:val="24"/>
        </w:rPr>
        <w:t>-</w:t>
      </w:r>
      <w:r w:rsidRPr="006755FE">
        <w:rPr>
          <w:rFonts w:asciiTheme="majorBidi" w:hAnsiTheme="majorBidi" w:cstheme="majorBidi"/>
          <w:sz w:val="24"/>
          <w:szCs w:val="24"/>
        </w:rPr>
        <w:t>Speed Micro-Centrifuge, USA) and the serum was taken out and kept at 4 °C for additional biochemical examination including aspartate aminotransferase (AST), alanine aminotransferase (ALT), alkaline phosphatase (ALP)</w:t>
      </w:r>
      <w:r w:rsidRPr="00C0340E">
        <w:rPr>
          <w:rFonts w:asciiTheme="majorBidi" w:hAnsiTheme="majorBidi" w:cstheme="majorBidi"/>
          <w:sz w:val="24"/>
          <w:szCs w:val="24"/>
        </w:rPr>
        <w:t xml:space="preserve">, triglycerides (TG), and cholesterol to evaluate liver function. </w:t>
      </w:r>
      <w:r w:rsidRPr="006755FE">
        <w:rPr>
          <w:rFonts w:asciiTheme="majorBidi" w:hAnsiTheme="majorBidi" w:cstheme="majorBidi"/>
          <w:sz w:val="24"/>
          <w:szCs w:val="24"/>
        </w:rPr>
        <w:t xml:space="preserve">The previous biochemical tests were evaluated in compliance with the given data process using commercial kits from the </w:t>
      </w:r>
      <w:r w:rsidR="00C75751">
        <w:rPr>
          <w:rFonts w:asciiTheme="majorBidi" w:hAnsiTheme="majorBidi" w:cstheme="majorBidi"/>
          <w:sz w:val="24"/>
          <w:szCs w:val="24"/>
        </w:rPr>
        <w:t xml:space="preserve">Laboratory </w:t>
      </w:r>
      <w:proofErr w:type="spellStart"/>
      <w:r w:rsidRPr="006755FE">
        <w:rPr>
          <w:rFonts w:asciiTheme="majorBidi" w:hAnsiTheme="majorBidi" w:cstheme="majorBidi"/>
          <w:sz w:val="24"/>
          <w:szCs w:val="24"/>
        </w:rPr>
        <w:t>Bio</w:t>
      </w:r>
      <w:r w:rsidR="00C75751">
        <w:rPr>
          <w:rFonts w:asciiTheme="majorBidi" w:hAnsiTheme="majorBidi" w:cstheme="majorBidi"/>
          <w:sz w:val="24"/>
          <w:szCs w:val="24"/>
        </w:rPr>
        <w:t>d</w:t>
      </w:r>
      <w:r w:rsidRPr="006755FE">
        <w:rPr>
          <w:rFonts w:asciiTheme="majorBidi" w:hAnsiTheme="majorBidi" w:cstheme="majorBidi"/>
          <w:sz w:val="24"/>
          <w:szCs w:val="24"/>
        </w:rPr>
        <w:t>iagnostic</w:t>
      </w:r>
      <w:r w:rsidR="00C75751">
        <w:rPr>
          <w:rFonts w:asciiTheme="majorBidi" w:hAnsiTheme="majorBidi" w:cstheme="majorBidi"/>
          <w:sz w:val="24"/>
          <w:szCs w:val="24"/>
        </w:rPr>
        <w:t>s</w:t>
      </w:r>
      <w:proofErr w:type="spellEnd"/>
      <w:r w:rsidRPr="006755FE">
        <w:rPr>
          <w:rFonts w:asciiTheme="majorBidi" w:hAnsiTheme="majorBidi" w:cstheme="majorBidi"/>
          <w:sz w:val="24"/>
          <w:szCs w:val="24"/>
        </w:rPr>
        <w:t xml:space="preserve"> Company in Giza, Egypt.</w:t>
      </w:r>
      <w:r w:rsidR="00C75751">
        <w:rPr>
          <w:rFonts w:asciiTheme="majorBidi" w:hAnsiTheme="majorBidi" w:cstheme="majorBidi"/>
          <w:sz w:val="24"/>
          <w:szCs w:val="24"/>
        </w:rPr>
        <w:t xml:space="preserve"> </w:t>
      </w:r>
    </w:p>
    <w:p w14:paraId="73997C76" w14:textId="77777777" w:rsidR="006755FE" w:rsidRPr="006755FE" w:rsidRDefault="006755FE" w:rsidP="00C75751">
      <w:pPr>
        <w:bidi w:val="0"/>
        <w:spacing w:before="120" w:after="0" w:line="360" w:lineRule="auto"/>
        <w:rPr>
          <w:rFonts w:asciiTheme="majorBidi" w:hAnsiTheme="majorBidi" w:cstheme="majorBidi"/>
          <w:b/>
          <w:bCs/>
          <w:sz w:val="24"/>
          <w:szCs w:val="24"/>
        </w:rPr>
      </w:pPr>
      <w:r w:rsidRPr="006755FE">
        <w:rPr>
          <w:rFonts w:asciiTheme="majorBidi" w:hAnsiTheme="majorBidi" w:cstheme="majorBidi"/>
          <w:b/>
          <w:bCs/>
          <w:sz w:val="24"/>
          <w:szCs w:val="24"/>
        </w:rPr>
        <w:t>2.6. Evaluation of oxidative stress markers:</w:t>
      </w:r>
    </w:p>
    <w:p w14:paraId="6248AB08" w14:textId="13B6AEA8" w:rsidR="006755FE" w:rsidRPr="006755FE" w:rsidRDefault="006755FE" w:rsidP="00240352">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one g of hepatic tissue in 5 ml of cold buffer solution (50 mmol K</w:t>
      </w:r>
      <w:r w:rsidRPr="006755FE">
        <w:rPr>
          <w:rFonts w:asciiTheme="majorBidi" w:hAnsiTheme="majorBidi" w:cstheme="majorBidi"/>
          <w:sz w:val="24"/>
          <w:szCs w:val="24"/>
          <w:vertAlign w:val="subscript"/>
        </w:rPr>
        <w:t>3</w:t>
      </w:r>
      <w:r w:rsidRPr="006755FE">
        <w:rPr>
          <w:rFonts w:asciiTheme="majorBidi" w:hAnsiTheme="majorBidi" w:cstheme="majorBidi"/>
          <w:sz w:val="24"/>
          <w:szCs w:val="24"/>
        </w:rPr>
        <w:t>PO</w:t>
      </w:r>
      <w:r w:rsidRPr="006755FE">
        <w:rPr>
          <w:rFonts w:asciiTheme="majorBidi" w:hAnsiTheme="majorBidi" w:cstheme="majorBidi"/>
          <w:sz w:val="24"/>
          <w:szCs w:val="24"/>
          <w:vertAlign w:val="subscript"/>
        </w:rPr>
        <w:t>4</w:t>
      </w:r>
      <w:r w:rsidRPr="006755FE">
        <w:rPr>
          <w:rFonts w:asciiTheme="majorBidi" w:hAnsiTheme="majorBidi" w:cstheme="majorBidi"/>
          <w:sz w:val="24"/>
          <w:szCs w:val="24"/>
        </w:rPr>
        <w:t>, 1 mmol EDTA, pH 7.5) w</w:t>
      </w:r>
      <w:r w:rsidR="00240352">
        <w:rPr>
          <w:rFonts w:asciiTheme="majorBidi" w:hAnsiTheme="majorBidi" w:cstheme="majorBidi"/>
          <w:sz w:val="24"/>
          <w:szCs w:val="24"/>
        </w:rPr>
        <w:t>as</w:t>
      </w:r>
      <w:r w:rsidRPr="006755FE">
        <w:rPr>
          <w:rFonts w:asciiTheme="majorBidi" w:hAnsiTheme="majorBidi" w:cstheme="majorBidi"/>
          <w:sz w:val="24"/>
          <w:szCs w:val="24"/>
        </w:rPr>
        <w:t xml:space="preserve"> thoroughly mixed using a sonic homogenizer. A cooled centrifuge was used to centrifuge the resultant homogenate for 20 min at 4000 rpm. The supernatant was collected and utilized to assess malondialdehyde (MDA) </w:t>
      </w:r>
      <w:r w:rsidR="00240352">
        <w:rPr>
          <w:rFonts w:asciiTheme="majorBidi" w:hAnsiTheme="majorBidi" w:cstheme="majorBidi"/>
          <w:sz w:val="24"/>
          <w:szCs w:val="24"/>
        </w:rPr>
        <w:t xml:space="preserve">and </w:t>
      </w:r>
      <w:r w:rsidR="00240352" w:rsidRPr="006755FE">
        <w:rPr>
          <w:rFonts w:asciiTheme="majorBidi" w:hAnsiTheme="majorBidi" w:cstheme="majorBidi"/>
          <w:sz w:val="24"/>
          <w:szCs w:val="24"/>
        </w:rPr>
        <w:t>glutathione (GSH)</w:t>
      </w:r>
      <w:r w:rsidR="00240352">
        <w:rPr>
          <w:rFonts w:asciiTheme="majorBidi" w:hAnsiTheme="majorBidi" w:cstheme="majorBidi"/>
          <w:b/>
          <w:bCs/>
          <w:sz w:val="24"/>
          <w:szCs w:val="24"/>
        </w:rPr>
        <w:t xml:space="preserve"> </w:t>
      </w:r>
      <w:r w:rsidRPr="006755FE">
        <w:rPr>
          <w:rFonts w:asciiTheme="majorBidi" w:hAnsiTheme="majorBidi" w:cstheme="majorBidi"/>
          <w:sz w:val="24"/>
          <w:szCs w:val="24"/>
        </w:rPr>
        <w:t>content</w:t>
      </w:r>
      <w:r w:rsidR="00240352">
        <w:rPr>
          <w:rFonts w:asciiTheme="majorBidi" w:hAnsiTheme="majorBidi" w:cstheme="majorBidi"/>
          <w:sz w:val="24"/>
          <w:szCs w:val="24"/>
        </w:rPr>
        <w:t>s as well as the activities of</w:t>
      </w:r>
      <w:r w:rsidRPr="006755FE">
        <w:rPr>
          <w:rFonts w:asciiTheme="majorBidi" w:hAnsiTheme="majorBidi" w:cstheme="majorBidi"/>
          <w:sz w:val="24"/>
          <w:szCs w:val="24"/>
        </w:rPr>
        <w:t xml:space="preserve"> </w:t>
      </w:r>
      <w:r w:rsidR="00240352">
        <w:rPr>
          <w:rFonts w:asciiTheme="majorBidi" w:hAnsiTheme="majorBidi" w:cstheme="majorBidi"/>
          <w:sz w:val="24"/>
          <w:szCs w:val="24"/>
        </w:rPr>
        <w:t>c</w:t>
      </w:r>
      <w:r w:rsidRPr="006755FE">
        <w:rPr>
          <w:rFonts w:asciiTheme="majorBidi" w:hAnsiTheme="majorBidi" w:cstheme="majorBidi"/>
          <w:sz w:val="24"/>
          <w:szCs w:val="24"/>
        </w:rPr>
        <w:t xml:space="preserve">atalase (CAT) and </w:t>
      </w:r>
      <w:r w:rsidR="00240352">
        <w:rPr>
          <w:rFonts w:asciiTheme="majorBidi" w:hAnsiTheme="majorBidi" w:cstheme="majorBidi"/>
          <w:sz w:val="24"/>
          <w:szCs w:val="24"/>
        </w:rPr>
        <w:t>s</w:t>
      </w:r>
      <w:r w:rsidRPr="006755FE">
        <w:rPr>
          <w:rFonts w:asciiTheme="majorBidi" w:hAnsiTheme="majorBidi" w:cstheme="majorBidi"/>
          <w:sz w:val="24"/>
          <w:szCs w:val="24"/>
        </w:rPr>
        <w:t>uperoxide dismutase (SOD).</w:t>
      </w:r>
      <w:r w:rsidR="00C75751">
        <w:rPr>
          <w:rFonts w:asciiTheme="majorBidi" w:hAnsiTheme="majorBidi" w:cstheme="majorBidi"/>
          <w:sz w:val="24"/>
          <w:szCs w:val="24"/>
        </w:rPr>
        <w:t xml:space="preserve"> All procedures were performed according to the manufacturer’s protocols.</w:t>
      </w:r>
    </w:p>
    <w:p w14:paraId="18D64EF7" w14:textId="77777777" w:rsidR="006755FE" w:rsidRPr="006755FE" w:rsidRDefault="006755FE" w:rsidP="00C75751">
      <w:pPr>
        <w:bidi w:val="0"/>
        <w:spacing w:before="120" w:after="0" w:line="360" w:lineRule="auto"/>
        <w:rPr>
          <w:rFonts w:asciiTheme="majorBidi" w:hAnsiTheme="majorBidi" w:cstheme="majorBidi"/>
          <w:b/>
          <w:bCs/>
          <w:sz w:val="24"/>
          <w:szCs w:val="24"/>
        </w:rPr>
      </w:pPr>
      <w:r w:rsidRPr="006755FE">
        <w:rPr>
          <w:rFonts w:asciiTheme="majorBidi" w:hAnsiTheme="majorBidi" w:cstheme="majorBidi"/>
          <w:b/>
          <w:bCs/>
          <w:sz w:val="24"/>
          <w:szCs w:val="24"/>
        </w:rPr>
        <w:t>2.7. Histopathological alteration:</w:t>
      </w:r>
    </w:p>
    <w:p w14:paraId="70A01346" w14:textId="1A27740F" w:rsidR="006755FE" w:rsidRPr="006755FE" w:rsidRDefault="006755FE" w:rsidP="00C75751">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Fresh liver tissues were cut into slices that were 3–4 mm thick. These slices were then fixed in 10 % neutral buffered formalin (10 % NBF), dried in ethanol at different concentrations, washed in xylene, and processed using the typical paraffin-embedding method. After sectioning paraffin blocks at a thickness of 4-6 m, they were deparaffinized and then stained with hematoxylin and eosin (H&amp;E) for histological changes. Hepatocellular tissue was examined under a Leica microscope (CH9435 Hee56rbrugg) supplied by Leica Microsystems in Switzerland.</w:t>
      </w:r>
    </w:p>
    <w:p w14:paraId="48105173" w14:textId="77777777" w:rsidR="006755FE" w:rsidRPr="006755FE" w:rsidRDefault="006755FE" w:rsidP="00C75751">
      <w:pPr>
        <w:bidi w:val="0"/>
        <w:spacing w:before="120" w:after="0" w:line="360" w:lineRule="auto"/>
        <w:rPr>
          <w:rFonts w:asciiTheme="majorBidi" w:hAnsiTheme="majorBidi" w:cstheme="majorBidi"/>
          <w:b/>
          <w:bCs/>
          <w:sz w:val="24"/>
          <w:szCs w:val="24"/>
        </w:rPr>
      </w:pPr>
      <w:r w:rsidRPr="006755FE">
        <w:rPr>
          <w:rFonts w:asciiTheme="majorBidi" w:hAnsiTheme="majorBidi" w:cstheme="majorBidi"/>
          <w:b/>
          <w:bCs/>
          <w:sz w:val="24"/>
          <w:szCs w:val="24"/>
        </w:rPr>
        <w:t>2.8. Immunohistochemistry:</w:t>
      </w:r>
    </w:p>
    <w:p w14:paraId="35118DB5" w14:textId="56130D62" w:rsidR="006755FE" w:rsidRPr="006755FE" w:rsidRDefault="006755FE" w:rsidP="00C75751">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For immunohistochemical examination, liver sections from each group under study were deparaffinized, dehydrated in graded ethanol solutions, and fixed on positively charged slides by using avidin-biotin- peroxidase complex (ABC) method. Liver section was pre-incubated with a Mouse Anti-TNF alpha Monoclonal Antibody (</w:t>
      </w:r>
      <w:proofErr w:type="spellStart"/>
      <w:r w:rsidRPr="006755FE">
        <w:rPr>
          <w:rFonts w:asciiTheme="majorBidi" w:hAnsiTheme="majorBidi" w:cstheme="majorBidi"/>
          <w:sz w:val="24"/>
          <w:szCs w:val="24"/>
        </w:rPr>
        <w:t>Elabscience</w:t>
      </w:r>
      <w:proofErr w:type="spellEnd"/>
      <w:r w:rsidRPr="006755FE">
        <w:rPr>
          <w:rFonts w:asciiTheme="majorBidi" w:hAnsiTheme="majorBidi" w:cstheme="majorBidi"/>
          <w:sz w:val="24"/>
          <w:szCs w:val="24"/>
        </w:rPr>
        <w:t xml:space="preserve"> Cat# E-AB-22159, Dilution: 1:50), and another section </w:t>
      </w:r>
      <w:r w:rsidRPr="006755FE">
        <w:rPr>
          <w:rFonts w:asciiTheme="majorBidi" w:hAnsiTheme="majorBidi" w:cstheme="majorBidi"/>
          <w:sz w:val="24"/>
          <w:szCs w:val="24"/>
        </w:rPr>
        <w:lastRenderedPageBreak/>
        <w:t>w</w:t>
      </w:r>
      <w:r w:rsidR="00C75751">
        <w:rPr>
          <w:rFonts w:asciiTheme="majorBidi" w:hAnsiTheme="majorBidi" w:cstheme="majorBidi"/>
          <w:sz w:val="24"/>
          <w:szCs w:val="24"/>
        </w:rPr>
        <w:t>as</w:t>
      </w:r>
      <w:r w:rsidRPr="006755FE">
        <w:rPr>
          <w:rFonts w:asciiTheme="majorBidi" w:hAnsiTheme="majorBidi" w:cstheme="majorBidi"/>
          <w:sz w:val="24"/>
          <w:szCs w:val="24"/>
        </w:rPr>
        <w:t xml:space="preserve"> pre-incubated with Rabbit Anti PCNA Polyclonal Antibody, (</w:t>
      </w:r>
      <w:proofErr w:type="spellStart"/>
      <w:r w:rsidRPr="006755FE">
        <w:rPr>
          <w:rFonts w:asciiTheme="majorBidi" w:hAnsiTheme="majorBidi" w:cstheme="majorBidi"/>
          <w:sz w:val="24"/>
          <w:szCs w:val="24"/>
        </w:rPr>
        <w:t>Elabscience</w:t>
      </w:r>
      <w:proofErr w:type="spellEnd"/>
      <w:r w:rsidRPr="006755FE">
        <w:rPr>
          <w:rFonts w:asciiTheme="majorBidi" w:hAnsiTheme="majorBidi" w:cstheme="majorBidi"/>
          <w:sz w:val="24"/>
          <w:szCs w:val="24"/>
        </w:rPr>
        <w:t xml:space="preserve"> Cat# E-AB-64562, </w:t>
      </w:r>
      <w:r w:rsidR="00C75751">
        <w:rPr>
          <w:rFonts w:asciiTheme="majorBidi" w:hAnsiTheme="majorBidi" w:cstheme="majorBidi"/>
          <w:sz w:val="24"/>
          <w:szCs w:val="24"/>
        </w:rPr>
        <w:t>d</w:t>
      </w:r>
      <w:r w:rsidRPr="006755FE">
        <w:rPr>
          <w:rFonts w:asciiTheme="majorBidi" w:hAnsiTheme="majorBidi" w:cstheme="majorBidi"/>
          <w:sz w:val="24"/>
          <w:szCs w:val="24"/>
        </w:rPr>
        <w:t>ilution</w:t>
      </w:r>
      <w:r w:rsidR="00C75751">
        <w:rPr>
          <w:rFonts w:asciiTheme="majorBidi" w:hAnsiTheme="majorBidi" w:cstheme="majorBidi"/>
          <w:sz w:val="24"/>
          <w:szCs w:val="24"/>
        </w:rPr>
        <w:t>;</w:t>
      </w:r>
      <w:r w:rsidRPr="006755FE">
        <w:rPr>
          <w:rFonts w:asciiTheme="majorBidi" w:hAnsiTheme="majorBidi" w:cstheme="majorBidi"/>
          <w:sz w:val="24"/>
          <w:szCs w:val="24"/>
        </w:rPr>
        <w:t xml:space="preserve"> 1:50) antibodies before being treated with the reagents needed for the ABC technique (</w:t>
      </w:r>
      <w:proofErr w:type="spellStart"/>
      <w:r w:rsidRPr="006755FE">
        <w:rPr>
          <w:rFonts w:asciiTheme="majorBidi" w:hAnsiTheme="majorBidi" w:cstheme="majorBidi"/>
          <w:sz w:val="24"/>
          <w:szCs w:val="24"/>
        </w:rPr>
        <w:t>Vectastain</w:t>
      </w:r>
      <w:proofErr w:type="spellEnd"/>
      <w:r w:rsidRPr="006755FE">
        <w:rPr>
          <w:rFonts w:asciiTheme="majorBidi" w:hAnsiTheme="majorBidi" w:cstheme="majorBidi"/>
          <w:sz w:val="24"/>
          <w:szCs w:val="24"/>
        </w:rPr>
        <w:t xml:space="preserve"> ABC-HRP kit, Vector labs). Marker expression was found using peroxidase and stained with diaminobenzidine (DAB, Sigma) to distinguish antigen-antibody complexes. Instead of primary or secondary antibodies, negative controls were implemented using non-immune serum. Using a Leica microscope (CH9435 Hee56rbrugg) (Leica Microsystems, Switzerland) with various magnification powers, immuno-stained slices were examined and taken as photographs.</w:t>
      </w:r>
    </w:p>
    <w:p w14:paraId="7D7625ED" w14:textId="4B226941" w:rsidR="006755FE" w:rsidRPr="006755FE" w:rsidRDefault="006755FE" w:rsidP="00C75751">
      <w:pPr>
        <w:bidi w:val="0"/>
        <w:spacing w:before="120" w:after="0" w:line="360" w:lineRule="auto"/>
        <w:rPr>
          <w:rFonts w:asciiTheme="majorBidi" w:hAnsiTheme="majorBidi" w:cstheme="majorBidi"/>
          <w:b/>
          <w:bCs/>
          <w:sz w:val="24"/>
          <w:szCs w:val="24"/>
        </w:rPr>
      </w:pPr>
      <w:r w:rsidRPr="006755FE">
        <w:rPr>
          <w:rFonts w:asciiTheme="majorBidi" w:hAnsiTheme="majorBidi" w:cstheme="majorBidi"/>
          <w:b/>
          <w:bCs/>
          <w:sz w:val="24"/>
          <w:szCs w:val="24"/>
        </w:rPr>
        <w:t>2.9. Statistical data</w:t>
      </w:r>
      <w:r w:rsidR="00C75751">
        <w:rPr>
          <w:rFonts w:asciiTheme="majorBidi" w:hAnsiTheme="majorBidi" w:cstheme="majorBidi"/>
          <w:b/>
          <w:bCs/>
          <w:sz w:val="24"/>
          <w:szCs w:val="24"/>
        </w:rPr>
        <w:t>:</w:t>
      </w:r>
    </w:p>
    <w:p w14:paraId="3899F8BF" w14:textId="07ED6F95" w:rsidR="006755FE" w:rsidRPr="006755FE" w:rsidRDefault="006755FE" w:rsidP="00C75751">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 xml:space="preserve">The statistical program SPSS (Version 20.0; SPSS Inc., Chicago, IL, USA) was used for all statistical analyses. The considerable divergence across several groups was analyzed using one-way ANOVA and Duncan's post hoc test. Every value is shown as mean ± standard error (SE) and deemed significant at P &lt; 0.05. </w:t>
      </w:r>
    </w:p>
    <w:p w14:paraId="05E896C6" w14:textId="27C7AFE6" w:rsidR="006755FE" w:rsidRPr="006755FE" w:rsidRDefault="00C75751" w:rsidP="00C75751">
      <w:pPr>
        <w:bidi w:val="0"/>
        <w:spacing w:before="120" w:after="0" w:line="360" w:lineRule="auto"/>
        <w:rPr>
          <w:rFonts w:asciiTheme="majorBidi" w:hAnsiTheme="majorBidi" w:cstheme="majorBidi"/>
          <w:b/>
          <w:bCs/>
          <w:sz w:val="24"/>
          <w:szCs w:val="24"/>
        </w:rPr>
      </w:pPr>
      <w:r>
        <w:rPr>
          <w:rFonts w:asciiTheme="majorBidi" w:hAnsiTheme="majorBidi" w:cstheme="majorBidi"/>
          <w:b/>
          <w:bCs/>
          <w:sz w:val="24"/>
          <w:szCs w:val="24"/>
        </w:rPr>
        <w:t xml:space="preserve">3. </w:t>
      </w:r>
      <w:r w:rsidR="006755FE" w:rsidRPr="006755FE">
        <w:rPr>
          <w:rFonts w:asciiTheme="majorBidi" w:hAnsiTheme="majorBidi" w:cstheme="majorBidi"/>
          <w:b/>
          <w:bCs/>
          <w:sz w:val="24"/>
          <w:szCs w:val="24"/>
        </w:rPr>
        <w:t>RESULTS</w:t>
      </w:r>
    </w:p>
    <w:p w14:paraId="46ECE62C" w14:textId="77777777" w:rsidR="006755FE" w:rsidRPr="006755FE" w:rsidRDefault="006755FE" w:rsidP="00C75751">
      <w:pPr>
        <w:bidi w:val="0"/>
        <w:spacing w:before="120" w:after="0" w:line="360" w:lineRule="auto"/>
        <w:rPr>
          <w:rFonts w:asciiTheme="majorBidi" w:hAnsiTheme="majorBidi" w:cstheme="majorBidi"/>
          <w:b/>
          <w:bCs/>
          <w:sz w:val="24"/>
          <w:szCs w:val="24"/>
        </w:rPr>
      </w:pPr>
      <w:r w:rsidRPr="006755FE">
        <w:rPr>
          <w:rFonts w:asciiTheme="majorBidi" w:hAnsiTheme="majorBidi" w:cstheme="majorBidi"/>
          <w:b/>
          <w:bCs/>
          <w:sz w:val="24"/>
          <w:szCs w:val="24"/>
        </w:rPr>
        <w:t>3.1. Biochemical analyses:</w:t>
      </w:r>
    </w:p>
    <w:p w14:paraId="09470153" w14:textId="77777777" w:rsidR="006755FE" w:rsidRDefault="006755FE" w:rsidP="00C75751">
      <w:pPr>
        <w:bidi w:val="0"/>
        <w:spacing w:after="0" w:line="360" w:lineRule="auto"/>
        <w:ind w:right="29" w:firstLine="720"/>
        <w:jc w:val="both"/>
        <w:rPr>
          <w:rFonts w:asciiTheme="majorBidi" w:eastAsia="Times New Roman" w:hAnsiTheme="majorBidi" w:cstheme="majorBidi"/>
          <w:color w:val="181818"/>
          <w:sz w:val="24"/>
          <w:szCs w:val="24"/>
        </w:rPr>
      </w:pPr>
      <w:r w:rsidRPr="006755FE">
        <w:rPr>
          <w:rFonts w:asciiTheme="majorBidi" w:eastAsia="Times New Roman" w:hAnsiTheme="majorBidi" w:cstheme="majorBidi"/>
          <w:color w:val="181818"/>
          <w:sz w:val="24"/>
          <w:szCs w:val="24"/>
        </w:rPr>
        <w:t xml:space="preserve">As shown in </w:t>
      </w:r>
      <w:r w:rsidRPr="006755FE">
        <w:rPr>
          <w:rFonts w:asciiTheme="majorBidi" w:eastAsia="Times New Roman" w:hAnsiTheme="majorBidi" w:cstheme="majorBidi"/>
          <w:b/>
          <w:bCs/>
          <w:color w:val="0070C0"/>
          <w:sz w:val="24"/>
          <w:szCs w:val="24"/>
        </w:rPr>
        <w:t>Figure 1,</w:t>
      </w:r>
      <w:bookmarkStart w:id="4" w:name="_Hlk42120154"/>
      <w:r w:rsidRPr="006755FE">
        <w:rPr>
          <w:rFonts w:asciiTheme="majorBidi" w:eastAsia="Times New Roman" w:hAnsiTheme="majorBidi" w:cstheme="majorBidi"/>
          <w:color w:val="0070C0"/>
          <w:sz w:val="24"/>
          <w:szCs w:val="24"/>
        </w:rPr>
        <w:t xml:space="preserve"> </w:t>
      </w:r>
      <w:r w:rsidRPr="006755FE">
        <w:rPr>
          <w:rFonts w:asciiTheme="majorBidi" w:eastAsia="Times New Roman" w:hAnsiTheme="majorBidi" w:cstheme="majorBidi"/>
          <w:color w:val="181818"/>
          <w:sz w:val="24"/>
          <w:szCs w:val="24"/>
        </w:rPr>
        <w:t xml:space="preserve">FU, Cd, and FU+Cd </w:t>
      </w:r>
      <w:bookmarkEnd w:id="4"/>
      <w:r w:rsidRPr="006755FE">
        <w:rPr>
          <w:rFonts w:asciiTheme="majorBidi" w:eastAsia="Times New Roman" w:hAnsiTheme="majorBidi" w:cstheme="majorBidi"/>
          <w:color w:val="181818"/>
          <w:sz w:val="24"/>
          <w:szCs w:val="24"/>
        </w:rPr>
        <w:t xml:space="preserve">groups caused hepatoxicity demonstrated by an increase in serum liver </w:t>
      </w:r>
      <w:r w:rsidRPr="00C75751">
        <w:rPr>
          <w:rFonts w:asciiTheme="majorBidi" w:hAnsiTheme="majorBidi" w:cstheme="majorBidi"/>
          <w:sz w:val="24"/>
          <w:szCs w:val="24"/>
        </w:rPr>
        <w:t>indicators</w:t>
      </w:r>
      <w:r w:rsidRPr="006755FE">
        <w:rPr>
          <w:rFonts w:asciiTheme="majorBidi" w:eastAsia="Times New Roman" w:hAnsiTheme="majorBidi" w:cstheme="majorBidi"/>
          <w:color w:val="181818"/>
          <w:sz w:val="24"/>
          <w:szCs w:val="24"/>
        </w:rPr>
        <w:t>. In comparison to control animals, there was a significant rise in AST, ALT, and ALP activity. Furthermore, we found that, in contrast to control rats, there were significant increases in the amounts of TG and cholesterol in the serum. These findings revealed that the synergistic action of FU and Cd together caused greater liver damage in rats than did either one alone.</w:t>
      </w:r>
    </w:p>
    <w:p w14:paraId="15E5397A" w14:textId="7EF835AC" w:rsidR="00821D7F" w:rsidRDefault="006205F6" w:rsidP="00743CAD">
      <w:pPr>
        <w:bidi w:val="0"/>
        <w:spacing w:line="360" w:lineRule="auto"/>
        <w:ind w:right="-154"/>
        <w:rPr>
          <w:rFonts w:asciiTheme="majorBidi" w:hAnsiTheme="majorBidi" w:cstheme="majorBidi"/>
          <w:sz w:val="24"/>
          <w:szCs w:val="24"/>
        </w:rPr>
      </w:pPr>
      <w:r>
        <w:rPr>
          <w:rFonts w:asciiTheme="majorBidi" w:eastAsia="Times New Roman" w:hAnsiTheme="majorBidi" w:cstheme="majorBidi"/>
          <w:noProof/>
          <w:color w:val="181818"/>
          <w:sz w:val="24"/>
          <w:szCs w:val="24"/>
        </w:rPr>
        <w:lastRenderedPageBreak/>
        <w:drawing>
          <wp:anchor distT="0" distB="0" distL="114300" distR="114300" simplePos="0" relativeHeight="251659264" behindDoc="0" locked="0" layoutInCell="1" allowOverlap="1" wp14:anchorId="52503083" wp14:editId="73C06ACF">
            <wp:simplePos x="0" y="0"/>
            <wp:positionH relativeFrom="margin">
              <wp:align>left</wp:align>
            </wp:positionH>
            <wp:positionV relativeFrom="paragraph">
              <wp:posOffset>0</wp:posOffset>
            </wp:positionV>
            <wp:extent cx="6042660" cy="7308850"/>
            <wp:effectExtent l="0" t="0" r="0" b="6350"/>
            <wp:wrapSquare wrapText="bothSides"/>
            <wp:docPr id="587936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36546" name="Picture 5879365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2660" cy="7308850"/>
                    </a:xfrm>
                    <a:prstGeom prst="rect">
                      <a:avLst/>
                    </a:prstGeom>
                  </pic:spPr>
                </pic:pic>
              </a:graphicData>
            </a:graphic>
            <wp14:sizeRelV relativeFrom="margin">
              <wp14:pctHeight>0</wp14:pctHeight>
            </wp14:sizeRelV>
          </wp:anchor>
        </w:drawing>
      </w:r>
      <w:r w:rsidRPr="007A5B6D">
        <w:rPr>
          <w:rFonts w:asciiTheme="majorBidi" w:eastAsia="Times New Roman" w:hAnsiTheme="majorBidi" w:cstheme="majorBidi"/>
          <w:b/>
          <w:bCs/>
          <w:color w:val="0070C0"/>
          <w:sz w:val="24"/>
          <w:szCs w:val="24"/>
        </w:rPr>
        <w:t>Figure 1</w:t>
      </w:r>
      <w:r w:rsidR="00743CAD">
        <w:rPr>
          <w:rFonts w:asciiTheme="majorBidi" w:eastAsia="Times New Roman" w:hAnsiTheme="majorBidi" w:cstheme="majorBidi"/>
          <w:b/>
          <w:bCs/>
          <w:color w:val="0070C0"/>
          <w:sz w:val="24"/>
          <w:szCs w:val="24"/>
        </w:rPr>
        <w:t>.</w:t>
      </w:r>
      <w:r w:rsidRPr="007A5B6D">
        <w:rPr>
          <w:rFonts w:asciiTheme="majorBidi" w:hAnsiTheme="majorBidi" w:cstheme="majorBidi"/>
          <w:sz w:val="24"/>
          <w:szCs w:val="24"/>
        </w:rPr>
        <w:t xml:space="preserve"> Changes in serum biochemical parameters after treatment with </w:t>
      </w:r>
      <w:bookmarkStart w:id="5" w:name="_Hlk144808385"/>
      <w:r w:rsidRPr="007A5B6D">
        <w:rPr>
          <w:rFonts w:asciiTheme="majorBidi" w:hAnsiTheme="majorBidi" w:cstheme="majorBidi"/>
          <w:sz w:val="24"/>
          <w:szCs w:val="24"/>
        </w:rPr>
        <w:t>FU and/or Cd</w:t>
      </w:r>
      <w:bookmarkEnd w:id="5"/>
      <w:r w:rsidRPr="007A5B6D">
        <w:rPr>
          <w:rFonts w:asciiTheme="majorBidi" w:hAnsiTheme="majorBidi" w:cstheme="majorBidi"/>
          <w:sz w:val="24"/>
          <w:szCs w:val="24"/>
        </w:rPr>
        <w:t xml:space="preserve">. All values are </w:t>
      </w:r>
      <w:r w:rsidRPr="00E113D6">
        <w:rPr>
          <w:rFonts w:asciiTheme="majorBidi" w:hAnsiTheme="majorBidi" w:cstheme="majorBidi"/>
          <w:sz w:val="24"/>
          <w:szCs w:val="24"/>
        </w:rPr>
        <w:t xml:space="preserve">represented as </w:t>
      </w:r>
      <w:r w:rsidRPr="007A5B6D">
        <w:rPr>
          <w:rFonts w:asciiTheme="majorBidi" w:hAnsiTheme="majorBidi" w:cstheme="majorBidi"/>
          <w:sz w:val="24"/>
          <w:szCs w:val="24"/>
        </w:rPr>
        <w:t>the mean ± SE (n = 6). AST, aspartate aminotransferase; ALT, alanine aminotransferase; ALP, alkaline phosphatase; FU, Furan; Cd, Cadmium</w:t>
      </w:r>
    </w:p>
    <w:p w14:paraId="609A68BF" w14:textId="77777777" w:rsidR="004D2910" w:rsidRPr="007A5B6D" w:rsidRDefault="004D2910" w:rsidP="004D2910">
      <w:pPr>
        <w:bidi w:val="0"/>
        <w:spacing w:line="360" w:lineRule="auto"/>
        <w:ind w:right="-154"/>
        <w:rPr>
          <w:rFonts w:asciiTheme="majorBidi" w:hAnsiTheme="majorBidi" w:cstheme="majorBidi"/>
          <w:sz w:val="24"/>
          <w:szCs w:val="24"/>
        </w:rPr>
      </w:pPr>
    </w:p>
    <w:p w14:paraId="040A90BE" w14:textId="77777777" w:rsidR="006755FE" w:rsidRPr="006755FE" w:rsidRDefault="006755FE" w:rsidP="00743CAD">
      <w:pPr>
        <w:bidi w:val="0"/>
        <w:spacing w:before="120" w:after="0" w:line="360" w:lineRule="auto"/>
        <w:rPr>
          <w:rFonts w:asciiTheme="majorBidi" w:eastAsia="Times New Roman" w:hAnsiTheme="majorBidi" w:cstheme="majorBidi"/>
          <w:color w:val="181818"/>
          <w:sz w:val="24"/>
          <w:szCs w:val="24"/>
        </w:rPr>
      </w:pPr>
      <w:r w:rsidRPr="006755FE">
        <w:rPr>
          <w:rFonts w:asciiTheme="majorBidi" w:hAnsiTheme="majorBidi" w:cstheme="majorBidi"/>
          <w:b/>
          <w:bCs/>
          <w:sz w:val="24"/>
          <w:szCs w:val="24"/>
        </w:rPr>
        <w:lastRenderedPageBreak/>
        <w:t>3.2. Oxidative/antioxidative biomarkers assay</w:t>
      </w:r>
    </w:p>
    <w:p w14:paraId="245F765B" w14:textId="5EE7E416" w:rsidR="006755FE" w:rsidRDefault="006205F6" w:rsidP="00743CAD">
      <w:pPr>
        <w:bidi w:val="0"/>
        <w:spacing w:after="0" w:line="360" w:lineRule="auto"/>
        <w:ind w:right="29" w:firstLine="720"/>
        <w:jc w:val="both"/>
        <w:rPr>
          <w:rFonts w:asciiTheme="majorBidi" w:eastAsia="Times New Roman" w:hAnsiTheme="majorBidi" w:cstheme="majorBidi"/>
          <w:color w:val="181818"/>
          <w:sz w:val="24"/>
          <w:szCs w:val="24"/>
        </w:rPr>
      </w:pPr>
      <w:r>
        <w:rPr>
          <w:rFonts w:asciiTheme="majorBidi" w:eastAsia="Times New Roman" w:hAnsiTheme="majorBidi" w:cstheme="majorBidi"/>
          <w:noProof/>
          <w:color w:val="181818"/>
          <w:sz w:val="24"/>
          <w:szCs w:val="24"/>
        </w:rPr>
        <w:drawing>
          <wp:anchor distT="0" distB="0" distL="114300" distR="114300" simplePos="0" relativeHeight="251660288" behindDoc="0" locked="0" layoutInCell="1" allowOverlap="1" wp14:anchorId="2DFAFE77" wp14:editId="7B187153">
            <wp:simplePos x="0" y="0"/>
            <wp:positionH relativeFrom="margin">
              <wp:align>left</wp:align>
            </wp:positionH>
            <wp:positionV relativeFrom="paragraph">
              <wp:posOffset>1400810</wp:posOffset>
            </wp:positionV>
            <wp:extent cx="6254750" cy="5448300"/>
            <wp:effectExtent l="0" t="0" r="0" b="0"/>
            <wp:wrapSquare wrapText="bothSides"/>
            <wp:docPr id="414987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87576" name="Picture 4149875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54750" cy="5448300"/>
                    </a:xfrm>
                    <a:prstGeom prst="rect">
                      <a:avLst/>
                    </a:prstGeom>
                  </pic:spPr>
                </pic:pic>
              </a:graphicData>
            </a:graphic>
            <wp14:sizeRelH relativeFrom="margin">
              <wp14:pctWidth>0</wp14:pctWidth>
            </wp14:sizeRelH>
            <wp14:sizeRelV relativeFrom="margin">
              <wp14:pctHeight>0</wp14:pctHeight>
            </wp14:sizeRelV>
          </wp:anchor>
        </w:drawing>
      </w:r>
      <w:r w:rsidR="006755FE" w:rsidRPr="006755FE">
        <w:rPr>
          <w:rFonts w:asciiTheme="majorBidi" w:eastAsia="Times New Roman" w:hAnsiTheme="majorBidi" w:cstheme="majorBidi"/>
          <w:color w:val="181818"/>
          <w:sz w:val="24"/>
          <w:szCs w:val="24"/>
        </w:rPr>
        <w:t xml:space="preserve">The effects of FU, Cd, and </w:t>
      </w:r>
      <w:bookmarkStart w:id="6" w:name="_Hlk147594425"/>
      <w:r w:rsidR="006755FE" w:rsidRPr="006755FE">
        <w:rPr>
          <w:rFonts w:asciiTheme="majorBidi" w:eastAsia="Times New Roman" w:hAnsiTheme="majorBidi" w:cstheme="majorBidi"/>
          <w:color w:val="181818"/>
          <w:sz w:val="24"/>
          <w:szCs w:val="24"/>
        </w:rPr>
        <w:t xml:space="preserve">FU+Cd </w:t>
      </w:r>
      <w:bookmarkEnd w:id="6"/>
      <w:r w:rsidR="006755FE" w:rsidRPr="006755FE">
        <w:rPr>
          <w:rFonts w:asciiTheme="majorBidi" w:eastAsia="Times New Roman" w:hAnsiTheme="majorBidi" w:cstheme="majorBidi"/>
          <w:color w:val="181818"/>
          <w:sz w:val="24"/>
          <w:szCs w:val="24"/>
        </w:rPr>
        <w:t xml:space="preserve">intoxication on lipid peroxidation and liver oxidative parameters are displayed in </w:t>
      </w:r>
      <w:r w:rsidR="006755FE" w:rsidRPr="006755FE">
        <w:rPr>
          <w:rFonts w:asciiTheme="majorBidi" w:eastAsia="Times New Roman" w:hAnsiTheme="majorBidi" w:cstheme="majorBidi"/>
          <w:b/>
          <w:bCs/>
          <w:color w:val="0070C0"/>
          <w:sz w:val="24"/>
          <w:szCs w:val="24"/>
        </w:rPr>
        <w:t>Figure 2</w:t>
      </w:r>
      <w:r w:rsidR="006755FE" w:rsidRPr="006755FE">
        <w:rPr>
          <w:rFonts w:asciiTheme="majorBidi" w:eastAsia="Times New Roman" w:hAnsiTheme="majorBidi" w:cstheme="majorBidi"/>
          <w:color w:val="181818"/>
          <w:sz w:val="24"/>
          <w:szCs w:val="24"/>
        </w:rPr>
        <w:t xml:space="preserve">, </w:t>
      </w:r>
      <w:r w:rsidR="000A5BBF">
        <w:rPr>
          <w:rFonts w:asciiTheme="majorBidi" w:eastAsia="Times New Roman" w:hAnsiTheme="majorBidi" w:cstheme="majorBidi"/>
          <w:color w:val="181818"/>
          <w:sz w:val="24"/>
          <w:szCs w:val="24"/>
        </w:rPr>
        <w:t>t</w:t>
      </w:r>
      <w:r w:rsidR="006755FE" w:rsidRPr="006755FE">
        <w:rPr>
          <w:rFonts w:asciiTheme="majorBidi" w:eastAsia="Times New Roman" w:hAnsiTheme="majorBidi" w:cstheme="majorBidi"/>
          <w:color w:val="181818"/>
          <w:sz w:val="24"/>
          <w:szCs w:val="24"/>
        </w:rPr>
        <w:t>reatment with FU and Cd resulted in significant oxidative stress, which was accompanied by a marked decrease in CAT, GSH, and SOD activity in the hepatic tissue relative to the control group. MDA levels increased dramatically. Remarkably, co-exposure to FU+Cd may clearly cause more hepatic oxidative damage than either exposure alone.</w:t>
      </w:r>
    </w:p>
    <w:p w14:paraId="13C24F15" w14:textId="3DBC942B" w:rsidR="00821D7F" w:rsidRDefault="00821D7F" w:rsidP="00743CAD">
      <w:pPr>
        <w:bidi w:val="0"/>
        <w:spacing w:line="360" w:lineRule="auto"/>
        <w:ind w:right="49"/>
        <w:jc w:val="both"/>
        <w:rPr>
          <w:rFonts w:asciiTheme="majorBidi" w:hAnsiTheme="majorBidi" w:cstheme="majorBidi"/>
          <w:sz w:val="24"/>
          <w:szCs w:val="24"/>
        </w:rPr>
      </w:pPr>
      <w:r w:rsidRPr="007A5B6D">
        <w:rPr>
          <w:rFonts w:asciiTheme="majorBidi" w:eastAsia="Times New Roman" w:hAnsiTheme="majorBidi" w:cstheme="majorBidi"/>
          <w:b/>
          <w:bCs/>
          <w:color w:val="0070C0"/>
          <w:sz w:val="24"/>
          <w:szCs w:val="24"/>
        </w:rPr>
        <w:t xml:space="preserve">Figure </w:t>
      </w:r>
      <w:r w:rsidRPr="007A5B6D">
        <w:rPr>
          <w:rFonts w:asciiTheme="majorBidi" w:hAnsiTheme="majorBidi" w:cstheme="majorBidi"/>
          <w:b/>
          <w:bCs/>
          <w:color w:val="0070C0"/>
          <w:sz w:val="24"/>
          <w:szCs w:val="24"/>
        </w:rPr>
        <w:t>2</w:t>
      </w:r>
      <w:r w:rsidR="00743CAD">
        <w:rPr>
          <w:rFonts w:asciiTheme="majorBidi" w:hAnsiTheme="majorBidi" w:cstheme="majorBidi"/>
          <w:b/>
          <w:bCs/>
          <w:color w:val="0070C0"/>
          <w:sz w:val="24"/>
          <w:szCs w:val="24"/>
        </w:rPr>
        <w:t>.</w:t>
      </w:r>
      <w:r w:rsidRPr="007A5B6D">
        <w:rPr>
          <w:rFonts w:asciiTheme="majorBidi" w:hAnsiTheme="majorBidi" w:cstheme="majorBidi"/>
          <w:b/>
          <w:bCs/>
          <w:color w:val="0070C0"/>
          <w:sz w:val="24"/>
          <w:szCs w:val="24"/>
        </w:rPr>
        <w:t xml:space="preserve"> </w:t>
      </w:r>
      <w:r w:rsidRPr="007A5B6D">
        <w:rPr>
          <w:rFonts w:asciiTheme="majorBidi" w:hAnsiTheme="majorBidi" w:cstheme="majorBidi"/>
          <w:sz w:val="24"/>
          <w:szCs w:val="24"/>
        </w:rPr>
        <w:t xml:space="preserve">Changes in oxidative/antioxidative status </w:t>
      </w:r>
      <w:bookmarkStart w:id="7" w:name="_Hlk147774487"/>
      <w:r>
        <w:rPr>
          <w:rFonts w:asciiTheme="majorBidi" w:hAnsiTheme="majorBidi" w:cstheme="majorBidi"/>
          <w:sz w:val="24"/>
          <w:szCs w:val="24"/>
        </w:rPr>
        <w:t xml:space="preserve">in liver tissues </w:t>
      </w:r>
      <w:bookmarkEnd w:id="7"/>
      <w:r w:rsidRPr="007A5B6D">
        <w:rPr>
          <w:rFonts w:asciiTheme="majorBidi" w:hAnsiTheme="majorBidi" w:cstheme="majorBidi"/>
          <w:sz w:val="24"/>
          <w:szCs w:val="24"/>
        </w:rPr>
        <w:t>after treatment with FU and/or Cd. All values are expressed as the mean ± SE (n =</w:t>
      </w:r>
      <w:r w:rsidR="00743CAD">
        <w:rPr>
          <w:rFonts w:asciiTheme="majorBidi" w:hAnsiTheme="majorBidi" w:cstheme="majorBidi"/>
          <w:sz w:val="24"/>
          <w:szCs w:val="24"/>
        </w:rPr>
        <w:t xml:space="preserve"> </w:t>
      </w:r>
      <w:r w:rsidRPr="007A5B6D">
        <w:rPr>
          <w:rFonts w:asciiTheme="majorBidi" w:hAnsiTheme="majorBidi" w:cstheme="majorBidi"/>
          <w:sz w:val="24"/>
          <w:szCs w:val="24"/>
        </w:rPr>
        <w:t>5). MDA, malondialdehyde; CAT, catalase</w:t>
      </w:r>
      <w:bookmarkStart w:id="8" w:name="_Hlk147774619"/>
      <w:r w:rsidRPr="007A5B6D">
        <w:rPr>
          <w:rFonts w:asciiTheme="majorBidi" w:hAnsiTheme="majorBidi" w:cstheme="majorBidi"/>
          <w:sz w:val="24"/>
          <w:szCs w:val="24"/>
        </w:rPr>
        <w:t>; GSH, glutathione</w:t>
      </w:r>
      <w:bookmarkEnd w:id="8"/>
      <w:r w:rsidRPr="007A5B6D">
        <w:rPr>
          <w:rFonts w:asciiTheme="majorBidi" w:hAnsiTheme="majorBidi" w:cstheme="majorBidi"/>
          <w:sz w:val="24"/>
          <w:szCs w:val="24"/>
        </w:rPr>
        <w:t>; SOD, superoxide dismutase; FU, Furan; Cd, Cadmium</w:t>
      </w:r>
    </w:p>
    <w:p w14:paraId="1502F673" w14:textId="77777777" w:rsidR="004D2910" w:rsidRDefault="004D2910" w:rsidP="004D2910">
      <w:pPr>
        <w:bidi w:val="0"/>
        <w:spacing w:line="360" w:lineRule="auto"/>
        <w:ind w:right="49"/>
        <w:jc w:val="both"/>
        <w:rPr>
          <w:rFonts w:asciiTheme="majorBidi" w:hAnsiTheme="majorBidi" w:cstheme="majorBidi"/>
          <w:sz w:val="24"/>
          <w:szCs w:val="24"/>
        </w:rPr>
      </w:pPr>
    </w:p>
    <w:p w14:paraId="743AC5E2" w14:textId="77777777" w:rsidR="004D2910" w:rsidRDefault="004D2910" w:rsidP="004D2910">
      <w:pPr>
        <w:bidi w:val="0"/>
        <w:spacing w:line="360" w:lineRule="auto"/>
        <w:ind w:right="49"/>
        <w:jc w:val="both"/>
        <w:rPr>
          <w:rFonts w:asciiTheme="majorBidi" w:hAnsiTheme="majorBidi" w:cstheme="majorBidi"/>
          <w:sz w:val="24"/>
          <w:szCs w:val="24"/>
        </w:rPr>
      </w:pPr>
    </w:p>
    <w:p w14:paraId="7D4C56C6" w14:textId="77777777" w:rsidR="006755FE" w:rsidRPr="006755FE" w:rsidRDefault="006755FE" w:rsidP="00743CAD">
      <w:pPr>
        <w:bidi w:val="0"/>
        <w:spacing w:before="120" w:after="0" w:line="360" w:lineRule="auto"/>
        <w:rPr>
          <w:rFonts w:asciiTheme="majorBidi" w:hAnsiTheme="majorBidi" w:cstheme="majorBidi"/>
          <w:b/>
          <w:bCs/>
          <w:sz w:val="24"/>
          <w:szCs w:val="24"/>
        </w:rPr>
      </w:pPr>
      <w:r w:rsidRPr="006755FE">
        <w:rPr>
          <w:rFonts w:asciiTheme="majorBidi" w:hAnsiTheme="majorBidi" w:cstheme="majorBidi"/>
          <w:b/>
          <w:bCs/>
          <w:sz w:val="24"/>
          <w:szCs w:val="24"/>
        </w:rPr>
        <w:lastRenderedPageBreak/>
        <w:t>3.3. Histopathological finding of liver:</w:t>
      </w:r>
    </w:p>
    <w:p w14:paraId="74A9E256" w14:textId="35C472D6" w:rsidR="006755FE" w:rsidRDefault="006755FE" w:rsidP="00743CAD">
      <w:pPr>
        <w:bidi w:val="0"/>
        <w:spacing w:after="0" w:line="360" w:lineRule="auto"/>
        <w:ind w:right="29" w:firstLine="720"/>
        <w:jc w:val="both"/>
        <w:rPr>
          <w:rFonts w:asciiTheme="majorBidi" w:hAnsiTheme="majorBidi" w:cstheme="majorBidi"/>
          <w:sz w:val="24"/>
          <w:szCs w:val="24"/>
        </w:rPr>
      </w:pPr>
      <w:proofErr w:type="gramStart"/>
      <w:r w:rsidRPr="006755FE">
        <w:rPr>
          <w:rFonts w:asciiTheme="majorBidi" w:hAnsiTheme="majorBidi" w:cstheme="majorBidi"/>
          <w:sz w:val="24"/>
          <w:szCs w:val="24"/>
        </w:rPr>
        <w:t>In order to</w:t>
      </w:r>
      <w:proofErr w:type="gramEnd"/>
      <w:r w:rsidRPr="006755FE">
        <w:rPr>
          <w:rFonts w:asciiTheme="majorBidi" w:hAnsiTheme="majorBidi" w:cstheme="majorBidi"/>
          <w:sz w:val="24"/>
          <w:szCs w:val="24"/>
        </w:rPr>
        <w:t xml:space="preserve"> verify the </w:t>
      </w:r>
      <w:r w:rsidRPr="00743CAD">
        <w:rPr>
          <w:rFonts w:asciiTheme="majorBidi" w:eastAsia="Times New Roman" w:hAnsiTheme="majorBidi" w:cstheme="majorBidi"/>
          <w:color w:val="181818"/>
          <w:sz w:val="24"/>
          <w:szCs w:val="24"/>
        </w:rPr>
        <w:t>previously</w:t>
      </w:r>
      <w:r w:rsidRPr="006755FE">
        <w:rPr>
          <w:rFonts w:asciiTheme="majorBidi" w:hAnsiTheme="majorBidi" w:cstheme="majorBidi"/>
          <w:sz w:val="24"/>
          <w:szCs w:val="24"/>
        </w:rPr>
        <w:t xml:space="preserve"> described findings, the morphological disturbance in the hepatic tissues after treatment with FU, Cd, or their combination (FU+Cd) was evaluated.</w:t>
      </w:r>
      <w:r w:rsidRPr="006755FE">
        <w:rPr>
          <w:rFonts w:asciiTheme="majorBidi" w:hAnsiTheme="majorBidi" w:cstheme="majorBidi"/>
          <w:b/>
          <w:bCs/>
          <w:sz w:val="24"/>
          <w:szCs w:val="24"/>
        </w:rPr>
        <w:t xml:space="preserve"> </w:t>
      </w:r>
      <w:r w:rsidRPr="006755FE">
        <w:rPr>
          <w:rFonts w:asciiTheme="majorBidi" w:hAnsiTheme="majorBidi" w:cstheme="majorBidi"/>
          <w:sz w:val="24"/>
          <w:szCs w:val="24"/>
        </w:rPr>
        <w:t>As illustrated in</w:t>
      </w:r>
      <w:r w:rsidRPr="006755FE">
        <w:rPr>
          <w:rFonts w:asciiTheme="majorBidi" w:hAnsiTheme="majorBidi" w:cstheme="majorBidi"/>
          <w:b/>
          <w:bCs/>
          <w:sz w:val="24"/>
          <w:szCs w:val="24"/>
        </w:rPr>
        <w:t xml:space="preserve"> </w:t>
      </w:r>
      <w:r w:rsidRPr="006755FE">
        <w:rPr>
          <w:rFonts w:asciiTheme="majorBidi" w:eastAsia="Times New Roman" w:hAnsiTheme="majorBidi" w:cstheme="majorBidi"/>
          <w:b/>
          <w:bCs/>
          <w:color w:val="0070C0"/>
          <w:sz w:val="24"/>
          <w:szCs w:val="24"/>
        </w:rPr>
        <w:t>Figure</w:t>
      </w:r>
      <w:r w:rsidRPr="006755FE">
        <w:rPr>
          <w:rFonts w:asciiTheme="majorBidi" w:hAnsiTheme="majorBidi" w:cstheme="majorBidi"/>
          <w:b/>
          <w:bCs/>
          <w:color w:val="0070C0"/>
          <w:sz w:val="24"/>
          <w:szCs w:val="24"/>
        </w:rPr>
        <w:t xml:space="preserve"> 3</w:t>
      </w:r>
      <w:r w:rsidRPr="00743CAD">
        <w:rPr>
          <w:rFonts w:asciiTheme="majorBidi" w:hAnsiTheme="majorBidi" w:cstheme="majorBidi"/>
          <w:b/>
          <w:bCs/>
          <w:sz w:val="24"/>
          <w:szCs w:val="24"/>
        </w:rPr>
        <w:t>,</w:t>
      </w:r>
      <w:r w:rsidRPr="006755FE">
        <w:rPr>
          <w:rFonts w:asciiTheme="majorBidi" w:hAnsiTheme="majorBidi" w:cstheme="majorBidi"/>
          <w:b/>
          <w:bCs/>
          <w:sz w:val="24"/>
          <w:szCs w:val="24"/>
        </w:rPr>
        <w:t xml:space="preserve"> </w:t>
      </w:r>
      <w:r w:rsidRPr="006755FE">
        <w:rPr>
          <w:rFonts w:asciiTheme="majorBidi" w:hAnsiTheme="majorBidi" w:cstheme="majorBidi"/>
          <w:sz w:val="24"/>
          <w:szCs w:val="24"/>
        </w:rPr>
        <w:t>Cr-water group (a) and Cr-oil group (b) show the typical</w:t>
      </w:r>
      <w:r w:rsidRPr="006755FE">
        <w:rPr>
          <w:rFonts w:asciiTheme="majorBidi" w:hAnsiTheme="majorBidi" w:cstheme="majorBidi"/>
          <w:sz w:val="24"/>
          <w:szCs w:val="24"/>
          <w:rtl/>
        </w:rPr>
        <w:t xml:space="preserve"> </w:t>
      </w:r>
      <w:r w:rsidRPr="006755FE">
        <w:rPr>
          <w:rFonts w:asciiTheme="majorBidi" w:hAnsiTheme="majorBidi" w:cstheme="majorBidi"/>
          <w:sz w:val="24"/>
          <w:szCs w:val="24"/>
        </w:rPr>
        <w:t>hepatic structure with intact endothelial lining of central vein, hepatic</w:t>
      </w:r>
      <w:r w:rsidRPr="006755FE">
        <w:rPr>
          <w:rFonts w:asciiTheme="majorBidi" w:hAnsiTheme="majorBidi" w:cstheme="majorBidi"/>
          <w:sz w:val="24"/>
          <w:szCs w:val="24"/>
          <w:rtl/>
        </w:rPr>
        <w:t xml:space="preserve"> </w:t>
      </w:r>
      <w:r w:rsidRPr="006755FE">
        <w:rPr>
          <w:rFonts w:asciiTheme="majorBidi" w:hAnsiTheme="majorBidi" w:cstheme="majorBidi"/>
          <w:sz w:val="24"/>
          <w:szCs w:val="24"/>
        </w:rPr>
        <w:t xml:space="preserve">cords appeared with </w:t>
      </w:r>
      <w:r w:rsidR="00743CAD">
        <w:rPr>
          <w:rFonts w:asciiTheme="majorBidi" w:hAnsiTheme="majorBidi" w:cstheme="majorBidi"/>
          <w:sz w:val="24"/>
          <w:szCs w:val="24"/>
        </w:rPr>
        <w:t>their</w:t>
      </w:r>
      <w:r w:rsidRPr="006755FE">
        <w:rPr>
          <w:rFonts w:asciiTheme="majorBidi" w:hAnsiTheme="majorBidi" w:cstheme="majorBidi"/>
          <w:sz w:val="24"/>
          <w:szCs w:val="24"/>
        </w:rPr>
        <w:t xml:space="preserve"> regular organization and lined with light and vesicula</w:t>
      </w:r>
      <w:r w:rsidRPr="006755FE">
        <w:rPr>
          <w:rFonts w:asciiTheme="majorBidi" w:hAnsiTheme="majorBidi" w:cstheme="majorBidi"/>
          <w:sz w:val="24"/>
          <w:szCs w:val="24"/>
          <w:rtl/>
        </w:rPr>
        <w:t xml:space="preserve"> </w:t>
      </w:r>
      <w:r w:rsidRPr="006755FE">
        <w:rPr>
          <w:rFonts w:asciiTheme="majorBidi" w:hAnsiTheme="majorBidi" w:cstheme="majorBidi"/>
          <w:sz w:val="24"/>
          <w:szCs w:val="24"/>
        </w:rPr>
        <w:t>hepatocytes, hepatic sinusoids presented between hepatic cords with its</w:t>
      </w:r>
      <w:r w:rsidRPr="006755FE">
        <w:rPr>
          <w:rFonts w:asciiTheme="majorBidi" w:hAnsiTheme="majorBidi" w:cstheme="majorBidi"/>
          <w:sz w:val="24"/>
          <w:szCs w:val="24"/>
          <w:rtl/>
        </w:rPr>
        <w:t xml:space="preserve"> </w:t>
      </w:r>
      <w:r w:rsidRPr="006755FE">
        <w:rPr>
          <w:rFonts w:asciiTheme="majorBidi" w:hAnsiTheme="majorBidi" w:cstheme="majorBidi"/>
          <w:sz w:val="24"/>
          <w:szCs w:val="24"/>
        </w:rPr>
        <w:t>usual structure</w:t>
      </w:r>
      <w:r w:rsidRPr="006755FE">
        <w:rPr>
          <w:rFonts w:asciiTheme="majorBidi" w:hAnsiTheme="majorBidi" w:cstheme="majorBidi"/>
          <w:sz w:val="24"/>
          <w:szCs w:val="24"/>
          <w:rtl/>
        </w:rPr>
        <w:t>.</w:t>
      </w:r>
      <w:r w:rsidRPr="006755FE">
        <w:rPr>
          <w:rFonts w:asciiTheme="majorBidi" w:hAnsiTheme="majorBidi" w:cstheme="majorBidi"/>
          <w:sz w:val="24"/>
          <w:szCs w:val="24"/>
        </w:rPr>
        <w:t xml:space="preserve"> In contrast, FU group (c) and Cd group (d) demonstrat</w:t>
      </w:r>
      <w:r w:rsidR="00743CAD">
        <w:rPr>
          <w:rFonts w:asciiTheme="majorBidi" w:hAnsiTheme="majorBidi" w:cstheme="majorBidi"/>
          <w:sz w:val="24"/>
          <w:szCs w:val="24"/>
        </w:rPr>
        <w:t>ed</w:t>
      </w:r>
      <w:r w:rsidRPr="006755FE">
        <w:rPr>
          <w:rFonts w:asciiTheme="majorBidi" w:hAnsiTheme="majorBidi" w:cstheme="majorBidi"/>
          <w:sz w:val="24"/>
          <w:szCs w:val="24"/>
        </w:rPr>
        <w:t xml:space="preserve"> degeneration along hepatic tissue</w:t>
      </w:r>
      <w:r w:rsidRPr="006755FE">
        <w:rPr>
          <w:rFonts w:asciiTheme="majorBidi" w:hAnsiTheme="majorBidi" w:cstheme="majorBidi"/>
          <w:sz w:val="24"/>
          <w:szCs w:val="24"/>
          <w:rtl/>
        </w:rPr>
        <w:t xml:space="preserve"> </w:t>
      </w:r>
      <w:r w:rsidRPr="006755FE">
        <w:rPr>
          <w:rFonts w:asciiTheme="majorBidi" w:hAnsiTheme="majorBidi" w:cstheme="majorBidi"/>
          <w:sz w:val="24"/>
          <w:szCs w:val="24"/>
        </w:rPr>
        <w:t>with degenerated central vein endothelial lining with inflammatory cell infiltration</w:t>
      </w:r>
      <w:r w:rsidR="00743CAD">
        <w:rPr>
          <w:rFonts w:asciiTheme="majorBidi" w:hAnsiTheme="majorBidi" w:cstheme="majorBidi"/>
          <w:sz w:val="24"/>
          <w:szCs w:val="24"/>
        </w:rPr>
        <w:t>s</w:t>
      </w:r>
      <w:r w:rsidRPr="006755FE">
        <w:rPr>
          <w:rFonts w:asciiTheme="majorBidi" w:hAnsiTheme="majorBidi" w:cstheme="majorBidi"/>
          <w:sz w:val="24"/>
          <w:szCs w:val="24"/>
        </w:rPr>
        <w:t xml:space="preserve"> around it. Some hepatocytes showed deep basophilic apoptotic</w:t>
      </w:r>
      <w:r w:rsidRPr="006755FE">
        <w:rPr>
          <w:rFonts w:asciiTheme="majorBidi" w:hAnsiTheme="majorBidi" w:cstheme="majorBidi"/>
          <w:sz w:val="24"/>
          <w:szCs w:val="24"/>
          <w:rtl/>
        </w:rPr>
        <w:t xml:space="preserve"> </w:t>
      </w:r>
      <w:r w:rsidRPr="006755FE">
        <w:rPr>
          <w:rFonts w:asciiTheme="majorBidi" w:hAnsiTheme="majorBidi" w:cstheme="majorBidi"/>
          <w:sz w:val="24"/>
          <w:szCs w:val="24"/>
        </w:rPr>
        <w:t>nuclei and others with deep acidophilic cytoplasm. Hepatic sinusoids</w:t>
      </w:r>
      <w:r w:rsidRPr="006755FE">
        <w:rPr>
          <w:rFonts w:asciiTheme="majorBidi" w:hAnsiTheme="majorBidi" w:cstheme="majorBidi"/>
          <w:sz w:val="24"/>
          <w:szCs w:val="24"/>
          <w:rtl/>
        </w:rPr>
        <w:t xml:space="preserve"> </w:t>
      </w:r>
      <w:r w:rsidRPr="006755FE">
        <w:rPr>
          <w:rFonts w:asciiTheme="majorBidi" w:hAnsiTheme="majorBidi" w:cstheme="majorBidi"/>
          <w:sz w:val="24"/>
          <w:szCs w:val="24"/>
        </w:rPr>
        <w:t>show sever</w:t>
      </w:r>
      <w:r w:rsidR="00743CAD">
        <w:rPr>
          <w:rFonts w:asciiTheme="majorBidi" w:hAnsiTheme="majorBidi" w:cstheme="majorBidi"/>
          <w:sz w:val="24"/>
          <w:szCs w:val="24"/>
        </w:rPr>
        <w:t>e</w:t>
      </w:r>
      <w:r w:rsidRPr="006755FE">
        <w:rPr>
          <w:rFonts w:asciiTheme="majorBidi" w:hAnsiTheme="majorBidi" w:cstheme="majorBidi"/>
          <w:sz w:val="24"/>
          <w:szCs w:val="24"/>
        </w:rPr>
        <w:t xml:space="preserve"> congestion, microvascular steatosis, additionally</w:t>
      </w:r>
      <w:r w:rsidR="00743CAD">
        <w:rPr>
          <w:rFonts w:asciiTheme="majorBidi" w:hAnsiTheme="majorBidi" w:cstheme="majorBidi"/>
          <w:sz w:val="24"/>
          <w:szCs w:val="24"/>
        </w:rPr>
        <w:t>,</w:t>
      </w:r>
      <w:r w:rsidRPr="006755FE">
        <w:rPr>
          <w:rFonts w:asciiTheme="majorBidi" w:hAnsiTheme="majorBidi" w:cstheme="majorBidi"/>
          <w:sz w:val="24"/>
          <w:szCs w:val="24"/>
        </w:rPr>
        <w:t xml:space="preserve"> some necrotic areas, and interstitial edema that causes the hepatic cords to disperse.</w:t>
      </w:r>
      <w:r w:rsidRPr="006755FE">
        <w:rPr>
          <w:rFonts w:asciiTheme="majorBidi" w:hAnsiTheme="majorBidi" w:cstheme="majorBidi"/>
          <w:b/>
          <w:bCs/>
          <w:sz w:val="24"/>
          <w:szCs w:val="24"/>
        </w:rPr>
        <w:t xml:space="preserve"> </w:t>
      </w:r>
      <w:r w:rsidRPr="006755FE">
        <w:rPr>
          <w:rFonts w:asciiTheme="majorBidi" w:hAnsiTheme="majorBidi" w:cstheme="majorBidi"/>
          <w:sz w:val="24"/>
          <w:szCs w:val="24"/>
        </w:rPr>
        <w:t>compared to normal controls, FU+Cd group (e) display</w:t>
      </w:r>
      <w:r w:rsidR="00743CAD">
        <w:rPr>
          <w:rFonts w:asciiTheme="majorBidi" w:hAnsiTheme="majorBidi" w:cstheme="majorBidi"/>
          <w:sz w:val="24"/>
          <w:szCs w:val="24"/>
        </w:rPr>
        <w:t>ed</w:t>
      </w:r>
      <w:r w:rsidRPr="006755FE">
        <w:rPr>
          <w:rFonts w:asciiTheme="majorBidi" w:hAnsiTheme="majorBidi" w:cstheme="majorBidi"/>
          <w:sz w:val="24"/>
          <w:szCs w:val="24"/>
        </w:rPr>
        <w:t xml:space="preserve"> sever</w:t>
      </w:r>
      <w:r w:rsidR="00743CAD">
        <w:rPr>
          <w:rFonts w:asciiTheme="majorBidi" w:hAnsiTheme="majorBidi" w:cstheme="majorBidi"/>
          <w:sz w:val="24"/>
          <w:szCs w:val="24"/>
        </w:rPr>
        <w:t>e</w:t>
      </w:r>
      <w:r w:rsidRPr="006755FE">
        <w:rPr>
          <w:rFonts w:asciiTheme="majorBidi" w:hAnsiTheme="majorBidi" w:cstheme="majorBidi"/>
          <w:sz w:val="24"/>
          <w:szCs w:val="24"/>
        </w:rPr>
        <w:t xml:space="preserve"> hepatic</w:t>
      </w:r>
      <w:r w:rsidRPr="006755FE">
        <w:rPr>
          <w:rFonts w:asciiTheme="majorBidi" w:hAnsiTheme="majorBidi" w:cstheme="majorBidi"/>
          <w:sz w:val="24"/>
          <w:szCs w:val="24"/>
          <w:rtl/>
        </w:rPr>
        <w:t xml:space="preserve"> </w:t>
      </w:r>
      <w:r w:rsidRPr="006755FE">
        <w:rPr>
          <w:rFonts w:asciiTheme="majorBidi" w:hAnsiTheme="majorBidi" w:cstheme="majorBidi"/>
          <w:sz w:val="24"/>
          <w:szCs w:val="24"/>
        </w:rPr>
        <w:t>injury with sever</w:t>
      </w:r>
      <w:r w:rsidR="00743CAD">
        <w:rPr>
          <w:rFonts w:asciiTheme="majorBidi" w:hAnsiTheme="majorBidi" w:cstheme="majorBidi"/>
          <w:sz w:val="24"/>
          <w:szCs w:val="24"/>
        </w:rPr>
        <w:t>e</w:t>
      </w:r>
      <w:r w:rsidRPr="006755FE">
        <w:rPr>
          <w:rFonts w:asciiTheme="majorBidi" w:hAnsiTheme="majorBidi" w:cstheme="majorBidi"/>
          <w:sz w:val="24"/>
          <w:szCs w:val="24"/>
        </w:rPr>
        <w:t xml:space="preserve"> congestion and degeneration of central vein endothelial lining, microvascular steatosis, some hepatocytes showed hydropic degeneration, and others with </w:t>
      </w:r>
      <w:proofErr w:type="spellStart"/>
      <w:r w:rsidRPr="006755FE">
        <w:rPr>
          <w:rFonts w:asciiTheme="majorBidi" w:hAnsiTheme="majorBidi" w:cstheme="majorBidi"/>
          <w:sz w:val="24"/>
          <w:szCs w:val="24"/>
        </w:rPr>
        <w:t>karyol</w:t>
      </w:r>
      <w:r w:rsidR="00743CAD">
        <w:rPr>
          <w:rFonts w:asciiTheme="majorBidi" w:hAnsiTheme="majorBidi" w:cstheme="majorBidi"/>
          <w:sz w:val="24"/>
          <w:szCs w:val="24"/>
        </w:rPr>
        <w:t>ysis</w:t>
      </w:r>
      <w:proofErr w:type="spellEnd"/>
      <w:r w:rsidRPr="006755FE">
        <w:rPr>
          <w:rFonts w:asciiTheme="majorBidi" w:hAnsiTheme="majorBidi" w:cstheme="majorBidi"/>
          <w:sz w:val="24"/>
          <w:szCs w:val="24"/>
        </w:rPr>
        <w:t xml:space="preserve"> nuclei and deep</w:t>
      </w:r>
      <w:r w:rsidRPr="006755FE">
        <w:rPr>
          <w:rFonts w:asciiTheme="majorBidi" w:hAnsiTheme="majorBidi" w:cstheme="majorBidi"/>
          <w:sz w:val="24"/>
          <w:szCs w:val="24"/>
          <w:rtl/>
        </w:rPr>
        <w:t xml:space="preserve"> </w:t>
      </w:r>
      <w:r w:rsidRPr="006755FE">
        <w:rPr>
          <w:rFonts w:asciiTheme="majorBidi" w:hAnsiTheme="majorBidi" w:cstheme="majorBidi"/>
          <w:sz w:val="24"/>
          <w:szCs w:val="24"/>
        </w:rPr>
        <w:t>eosinophilic cytoplasm. Hepatic sinusoids dilatated and congested with interstitial edema leading to dispersion between</w:t>
      </w:r>
      <w:r w:rsidRPr="006755FE">
        <w:rPr>
          <w:rFonts w:asciiTheme="majorBidi" w:hAnsiTheme="majorBidi" w:cstheme="majorBidi"/>
          <w:sz w:val="24"/>
          <w:szCs w:val="24"/>
          <w:rtl/>
        </w:rPr>
        <w:t xml:space="preserve"> </w:t>
      </w:r>
      <w:r w:rsidRPr="006755FE">
        <w:rPr>
          <w:rFonts w:asciiTheme="majorBidi" w:hAnsiTheme="majorBidi" w:cstheme="majorBidi"/>
          <w:sz w:val="24"/>
          <w:szCs w:val="24"/>
        </w:rPr>
        <w:t>hepatic cords.</w:t>
      </w:r>
    </w:p>
    <w:p w14:paraId="04192BF6" w14:textId="3651CF89" w:rsidR="00821D7F" w:rsidRPr="00743CAD" w:rsidRDefault="004D13F0" w:rsidP="00743CAD">
      <w:pPr>
        <w:bidi w:val="0"/>
        <w:spacing w:line="360" w:lineRule="auto"/>
        <w:ind w:right="49"/>
        <w:jc w:val="both"/>
        <w:rPr>
          <w:rFonts w:asciiTheme="majorBidi" w:hAnsiTheme="majorBidi" w:cstheme="majorBidi"/>
          <w:b/>
          <w:bCs/>
          <w:noProof/>
          <w:sz w:val="24"/>
          <w:szCs w:val="24"/>
        </w:rPr>
      </w:pPr>
      <w:r>
        <w:rPr>
          <w:noProof/>
        </w:rPr>
        <w:lastRenderedPageBreak/>
        <w:drawing>
          <wp:inline distT="0" distB="0" distL="0" distR="0" wp14:anchorId="3C245A31" wp14:editId="5E5C4C7A">
            <wp:extent cx="6260465" cy="7032625"/>
            <wp:effectExtent l="0" t="0" r="6985" b="0"/>
            <wp:docPr id="747817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0465" cy="7032625"/>
                    </a:xfrm>
                    <a:prstGeom prst="rect">
                      <a:avLst/>
                    </a:prstGeom>
                    <a:noFill/>
                    <a:ln>
                      <a:noFill/>
                    </a:ln>
                  </pic:spPr>
                </pic:pic>
              </a:graphicData>
            </a:graphic>
          </wp:inline>
        </w:drawing>
      </w:r>
      <w:r w:rsidR="00821D7F" w:rsidRPr="00743CAD">
        <w:rPr>
          <w:rFonts w:asciiTheme="majorBidi" w:hAnsiTheme="majorBidi" w:cstheme="majorBidi"/>
          <w:b/>
          <w:bCs/>
          <w:color w:val="0070C0"/>
          <w:sz w:val="24"/>
          <w:szCs w:val="24"/>
        </w:rPr>
        <w:t>Figure 3</w:t>
      </w:r>
      <w:r w:rsidR="00743CAD" w:rsidRPr="00743CAD">
        <w:rPr>
          <w:rFonts w:asciiTheme="majorBidi" w:hAnsiTheme="majorBidi" w:cstheme="majorBidi"/>
          <w:b/>
          <w:bCs/>
          <w:color w:val="0070C0"/>
          <w:sz w:val="24"/>
          <w:szCs w:val="24"/>
        </w:rPr>
        <w:t>.</w:t>
      </w:r>
      <w:r w:rsidR="00821D7F" w:rsidRPr="00743CAD">
        <w:rPr>
          <w:rFonts w:asciiTheme="majorBidi" w:hAnsiTheme="majorBidi" w:cstheme="majorBidi"/>
          <w:b/>
          <w:bCs/>
          <w:sz w:val="24"/>
          <w:szCs w:val="24"/>
        </w:rPr>
        <w:t xml:space="preserve"> </w:t>
      </w:r>
      <w:r w:rsidR="00821D7F" w:rsidRPr="00743CAD">
        <w:rPr>
          <w:rFonts w:asciiTheme="majorBidi" w:hAnsiTheme="majorBidi" w:cstheme="majorBidi"/>
          <w:sz w:val="24"/>
          <w:szCs w:val="24"/>
        </w:rPr>
        <w:t>Liver histoarchitecture after treatment with FU and/or Cd.</w:t>
      </w:r>
      <w:r w:rsidR="00821D7F" w:rsidRPr="00743CAD">
        <w:rPr>
          <w:rFonts w:asciiTheme="majorBidi" w:hAnsiTheme="majorBidi" w:cstheme="majorBidi"/>
          <w:b/>
          <w:bCs/>
          <w:sz w:val="24"/>
          <w:szCs w:val="24"/>
        </w:rPr>
        <w:t xml:space="preserve"> </w:t>
      </w:r>
      <w:r w:rsidR="00821D7F" w:rsidRPr="00743CAD">
        <w:rPr>
          <w:rFonts w:asciiTheme="majorBidi" w:hAnsiTheme="majorBidi" w:cstheme="majorBidi"/>
          <w:sz w:val="24"/>
          <w:szCs w:val="24"/>
        </w:rPr>
        <w:t xml:space="preserve">Cr-water group (a) and Cr-oil group (b) show typical hepatic structure with intact endothelial lining of central vein (rectangles), hepatic cords appeared with </w:t>
      </w:r>
      <w:r w:rsidR="00743CAD">
        <w:rPr>
          <w:rFonts w:asciiTheme="majorBidi" w:hAnsiTheme="majorBidi" w:cstheme="majorBidi"/>
          <w:sz w:val="24"/>
          <w:szCs w:val="24"/>
        </w:rPr>
        <w:t>their</w:t>
      </w:r>
      <w:r w:rsidR="00821D7F" w:rsidRPr="00743CAD">
        <w:rPr>
          <w:rFonts w:asciiTheme="majorBidi" w:hAnsiTheme="majorBidi" w:cstheme="majorBidi"/>
          <w:sz w:val="24"/>
          <w:szCs w:val="24"/>
        </w:rPr>
        <w:t xml:space="preserve"> regular organization, lined with light and vesicular hepatocytes (arrows), hepatic sinusoids presented between hepatic cords with its usual structure (arrowheads)</w:t>
      </w:r>
      <w:r w:rsidR="00821D7F" w:rsidRPr="00743CAD">
        <w:rPr>
          <w:rFonts w:asciiTheme="majorBidi" w:hAnsiTheme="majorBidi" w:cstheme="majorBidi"/>
          <w:b/>
          <w:bCs/>
          <w:noProof/>
          <w:sz w:val="24"/>
          <w:szCs w:val="24"/>
        </w:rPr>
        <w:t>.</w:t>
      </w:r>
      <w:r w:rsidR="00821D7F" w:rsidRPr="00743CAD">
        <w:rPr>
          <w:rFonts w:asciiTheme="majorBidi" w:hAnsiTheme="majorBidi" w:cstheme="majorBidi"/>
          <w:sz w:val="24"/>
          <w:szCs w:val="24"/>
        </w:rPr>
        <w:t xml:space="preserve"> FU group (c) demonstrat</w:t>
      </w:r>
      <w:r w:rsidR="00743CAD">
        <w:rPr>
          <w:rFonts w:asciiTheme="majorBidi" w:hAnsiTheme="majorBidi" w:cstheme="majorBidi"/>
          <w:sz w:val="24"/>
          <w:szCs w:val="24"/>
        </w:rPr>
        <w:t>ed</w:t>
      </w:r>
      <w:r w:rsidR="00821D7F" w:rsidRPr="00743CAD">
        <w:rPr>
          <w:rFonts w:asciiTheme="majorBidi" w:hAnsiTheme="majorBidi" w:cstheme="majorBidi"/>
          <w:sz w:val="24"/>
          <w:szCs w:val="24"/>
        </w:rPr>
        <w:t xml:space="preserve"> degeneration along hepatic tissue with degenerated central vein endothelial </w:t>
      </w:r>
      <w:r w:rsidR="00821D7F" w:rsidRPr="00743CAD">
        <w:rPr>
          <w:rFonts w:asciiTheme="majorBidi" w:hAnsiTheme="majorBidi" w:cstheme="majorBidi"/>
          <w:sz w:val="24"/>
          <w:szCs w:val="24"/>
        </w:rPr>
        <w:lastRenderedPageBreak/>
        <w:t>lining (rectangle), hepatocytes showed hydropic degeneration, deep basophilic apoptotic nuclei (arrow), and others with deep acidophilic cytoplasm (wave arrow). Hepatic sinusoids have severed congestion (arrowhead), microvascular steatosis (arrow with tail), additionally some necrotic areas (curvy arrow). Cd group (d) marking moderate injury along hepatic tissue with loss of hepatic organization with degeneration of hepatic cords (circle), degenerated central vein endothelial lining with inflammatory cells infiltration around it (rectangle). Hepatocytes show deep basophilic apoptotic nuclei (arrow), others showed hypertrophy, increasing cytoplasmic</w:t>
      </w:r>
      <w:r w:rsidR="00743CAD">
        <w:rPr>
          <w:rFonts w:asciiTheme="majorBidi" w:hAnsiTheme="majorBidi" w:cstheme="majorBidi"/>
          <w:sz w:val="24"/>
          <w:szCs w:val="24"/>
        </w:rPr>
        <w:t>/</w:t>
      </w:r>
      <w:r w:rsidR="00821D7F" w:rsidRPr="00743CAD">
        <w:rPr>
          <w:rFonts w:asciiTheme="majorBidi" w:hAnsiTheme="majorBidi" w:cstheme="majorBidi"/>
          <w:sz w:val="24"/>
          <w:szCs w:val="24"/>
        </w:rPr>
        <w:t>nuclear ratio</w:t>
      </w:r>
      <w:r w:rsidR="00743CAD">
        <w:rPr>
          <w:rFonts w:asciiTheme="majorBidi" w:hAnsiTheme="majorBidi" w:cstheme="majorBidi"/>
          <w:sz w:val="24"/>
          <w:szCs w:val="24"/>
        </w:rPr>
        <w:t>,</w:t>
      </w:r>
      <w:r w:rsidR="00821D7F" w:rsidRPr="00743CAD">
        <w:rPr>
          <w:rFonts w:asciiTheme="majorBidi" w:hAnsiTheme="majorBidi" w:cstheme="majorBidi"/>
          <w:sz w:val="24"/>
          <w:szCs w:val="24"/>
        </w:rPr>
        <w:t xml:space="preserve"> and deep acidophilic cytoplasm (wave arrow), also seen with karyolitic changes (arrow with tail). Hepatic sinusoids appeared with sever</w:t>
      </w:r>
      <w:r w:rsidR="00743CAD">
        <w:rPr>
          <w:rFonts w:asciiTheme="majorBidi" w:hAnsiTheme="majorBidi" w:cstheme="majorBidi"/>
          <w:sz w:val="24"/>
          <w:szCs w:val="24"/>
        </w:rPr>
        <w:t>e</w:t>
      </w:r>
      <w:r w:rsidR="00821D7F" w:rsidRPr="00743CAD">
        <w:rPr>
          <w:rFonts w:asciiTheme="majorBidi" w:hAnsiTheme="majorBidi" w:cstheme="majorBidi"/>
          <w:sz w:val="24"/>
          <w:szCs w:val="24"/>
        </w:rPr>
        <w:t xml:space="preserve"> congestion (arrowhead), additionally</w:t>
      </w:r>
      <w:r w:rsidR="00743CAD">
        <w:rPr>
          <w:rFonts w:asciiTheme="majorBidi" w:hAnsiTheme="majorBidi" w:cstheme="majorBidi"/>
          <w:sz w:val="24"/>
          <w:szCs w:val="24"/>
        </w:rPr>
        <w:t>,</w:t>
      </w:r>
      <w:r w:rsidR="00821D7F" w:rsidRPr="00743CAD">
        <w:rPr>
          <w:rFonts w:asciiTheme="majorBidi" w:hAnsiTheme="majorBidi" w:cstheme="majorBidi"/>
          <w:sz w:val="24"/>
          <w:szCs w:val="24"/>
        </w:rPr>
        <w:t xml:space="preserve"> some necrotic area is seen (curvy arrow), notice also interstitial edema that lead</w:t>
      </w:r>
      <w:r w:rsidR="00743CAD">
        <w:rPr>
          <w:rFonts w:asciiTheme="majorBidi" w:hAnsiTheme="majorBidi" w:cstheme="majorBidi"/>
          <w:sz w:val="24"/>
          <w:szCs w:val="24"/>
        </w:rPr>
        <w:t>s</w:t>
      </w:r>
      <w:r w:rsidR="00821D7F" w:rsidRPr="00743CAD">
        <w:rPr>
          <w:rFonts w:asciiTheme="majorBidi" w:hAnsiTheme="majorBidi" w:cstheme="majorBidi"/>
          <w:sz w:val="24"/>
          <w:szCs w:val="24"/>
        </w:rPr>
        <w:t xml:space="preserve"> to dispersion between hepatic cords (star). FU+Cd group (e) display</w:t>
      </w:r>
      <w:r w:rsidR="00743CAD">
        <w:rPr>
          <w:rFonts w:asciiTheme="majorBidi" w:hAnsiTheme="majorBidi" w:cstheme="majorBidi"/>
          <w:sz w:val="24"/>
          <w:szCs w:val="24"/>
        </w:rPr>
        <w:t>s</w:t>
      </w:r>
      <w:r w:rsidR="00821D7F" w:rsidRPr="00743CAD">
        <w:rPr>
          <w:rFonts w:asciiTheme="majorBidi" w:hAnsiTheme="majorBidi" w:cstheme="majorBidi"/>
          <w:sz w:val="24"/>
          <w:szCs w:val="24"/>
        </w:rPr>
        <w:t xml:space="preserve"> sever</w:t>
      </w:r>
      <w:r w:rsidR="00743CAD">
        <w:rPr>
          <w:rFonts w:asciiTheme="majorBidi" w:hAnsiTheme="majorBidi" w:cstheme="majorBidi"/>
          <w:sz w:val="24"/>
          <w:szCs w:val="24"/>
        </w:rPr>
        <w:t>e</w:t>
      </w:r>
      <w:r w:rsidR="00821D7F" w:rsidRPr="00743CAD">
        <w:rPr>
          <w:rFonts w:asciiTheme="majorBidi" w:hAnsiTheme="majorBidi" w:cstheme="majorBidi"/>
          <w:sz w:val="24"/>
          <w:szCs w:val="24"/>
        </w:rPr>
        <w:t xml:space="preserve"> hepatic injury with sever</w:t>
      </w:r>
      <w:r w:rsidR="00743CAD">
        <w:rPr>
          <w:rFonts w:asciiTheme="majorBidi" w:hAnsiTheme="majorBidi" w:cstheme="majorBidi"/>
          <w:sz w:val="24"/>
          <w:szCs w:val="24"/>
        </w:rPr>
        <w:t>e</w:t>
      </w:r>
      <w:r w:rsidR="00821D7F" w:rsidRPr="00743CAD">
        <w:rPr>
          <w:rFonts w:asciiTheme="majorBidi" w:hAnsiTheme="majorBidi" w:cstheme="majorBidi"/>
          <w:sz w:val="24"/>
          <w:szCs w:val="24"/>
        </w:rPr>
        <w:t xml:space="preserve"> congestion, degeneration of central vein endothelial lining (rectangle), microvascular steatosis (arrow with tail), some hepatocytes show hydropic degeneration (arrow), while others with karyolitic nuclei and deep eosinophilic cytoplasm (wave arrow). Hepatic sinusoids exhibited dilatation and congestion (arrowhead), additionally</w:t>
      </w:r>
      <w:r w:rsidR="00743CAD">
        <w:rPr>
          <w:rFonts w:asciiTheme="majorBidi" w:hAnsiTheme="majorBidi" w:cstheme="majorBidi"/>
          <w:sz w:val="24"/>
          <w:szCs w:val="24"/>
        </w:rPr>
        <w:t>,</w:t>
      </w:r>
      <w:r w:rsidR="00821D7F" w:rsidRPr="00743CAD">
        <w:rPr>
          <w:rFonts w:asciiTheme="majorBidi" w:hAnsiTheme="majorBidi" w:cstheme="majorBidi"/>
          <w:sz w:val="24"/>
          <w:szCs w:val="24"/>
        </w:rPr>
        <w:t xml:space="preserve"> interstitial edema leading to dispersion between hepatic cords (star).</w:t>
      </w:r>
      <w:r w:rsidR="00821D7F" w:rsidRPr="00743CAD">
        <w:rPr>
          <w:sz w:val="24"/>
          <w:szCs w:val="24"/>
        </w:rPr>
        <w:t xml:space="preserve"> </w:t>
      </w:r>
      <w:r w:rsidR="00821D7F" w:rsidRPr="00743CAD">
        <w:rPr>
          <w:rFonts w:asciiTheme="majorBidi" w:hAnsiTheme="majorBidi" w:cstheme="majorBidi"/>
          <w:sz w:val="24"/>
          <w:szCs w:val="24"/>
        </w:rPr>
        <w:t xml:space="preserve">(Bars = 50 </w:t>
      </w:r>
      <w:proofErr w:type="spellStart"/>
      <w:r w:rsidR="00821D7F" w:rsidRPr="00743CAD">
        <w:rPr>
          <w:rFonts w:asciiTheme="majorBidi" w:hAnsiTheme="majorBidi" w:cstheme="majorBidi"/>
          <w:sz w:val="24"/>
          <w:szCs w:val="24"/>
        </w:rPr>
        <w:t>μm</w:t>
      </w:r>
      <w:proofErr w:type="spellEnd"/>
      <w:r w:rsidR="00821D7F" w:rsidRPr="00743CAD">
        <w:rPr>
          <w:rFonts w:asciiTheme="majorBidi" w:hAnsiTheme="majorBidi" w:cstheme="majorBidi"/>
          <w:sz w:val="24"/>
          <w:szCs w:val="24"/>
        </w:rPr>
        <w:t>).</w:t>
      </w:r>
    </w:p>
    <w:p w14:paraId="345CF98D" w14:textId="49EA6F0C" w:rsidR="006755FE" w:rsidRPr="006755FE" w:rsidRDefault="00743CAD" w:rsidP="00743CAD">
      <w:pPr>
        <w:bidi w:val="0"/>
        <w:spacing w:before="120" w:after="0" w:line="360" w:lineRule="auto"/>
        <w:rPr>
          <w:rFonts w:asciiTheme="majorBidi" w:hAnsiTheme="majorBidi" w:cstheme="majorBidi"/>
          <w:b/>
          <w:bCs/>
          <w:sz w:val="24"/>
          <w:szCs w:val="24"/>
        </w:rPr>
      </w:pPr>
      <w:r>
        <w:rPr>
          <w:rFonts w:asciiTheme="majorBidi" w:hAnsiTheme="majorBidi" w:cstheme="majorBidi"/>
          <w:b/>
          <w:bCs/>
          <w:sz w:val="24"/>
          <w:szCs w:val="24"/>
        </w:rPr>
        <w:t xml:space="preserve">3.4. </w:t>
      </w:r>
      <w:r w:rsidR="006755FE" w:rsidRPr="006755FE">
        <w:rPr>
          <w:rFonts w:asciiTheme="majorBidi" w:hAnsiTheme="majorBidi" w:cstheme="majorBidi"/>
          <w:b/>
          <w:bCs/>
          <w:sz w:val="24"/>
          <w:szCs w:val="24"/>
        </w:rPr>
        <w:t xml:space="preserve">Immunohistochemical study:  </w:t>
      </w:r>
    </w:p>
    <w:p w14:paraId="10B98720" w14:textId="6AF520FB" w:rsidR="0030296A" w:rsidRDefault="006755FE" w:rsidP="002A5DE1">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 xml:space="preserve">Here, we investigated the apoptotic effects caused by FU, Cd, or their combination (FU+Cd) on liver tissue. </w:t>
      </w:r>
      <w:r w:rsidRPr="00743CAD">
        <w:rPr>
          <w:rFonts w:asciiTheme="majorBidi" w:eastAsia="Times New Roman" w:hAnsiTheme="majorBidi" w:cstheme="majorBidi"/>
          <w:color w:val="181818"/>
          <w:sz w:val="24"/>
          <w:szCs w:val="24"/>
        </w:rPr>
        <w:t>Changes</w:t>
      </w:r>
      <w:r w:rsidRPr="006755FE">
        <w:rPr>
          <w:rFonts w:asciiTheme="majorBidi" w:hAnsiTheme="majorBidi" w:cstheme="majorBidi"/>
          <w:sz w:val="24"/>
          <w:szCs w:val="24"/>
        </w:rPr>
        <w:t xml:space="preserve"> in PCNA and </w:t>
      </w:r>
      <w:r w:rsidR="00743CAD">
        <w:rPr>
          <w:rFonts w:asciiTheme="majorBidi" w:hAnsiTheme="majorBidi" w:cstheme="majorBidi"/>
          <w:sz w:val="24"/>
          <w:szCs w:val="24"/>
        </w:rPr>
        <w:t>TNF-α</w:t>
      </w:r>
      <w:r w:rsidRPr="006755FE">
        <w:rPr>
          <w:rFonts w:asciiTheme="majorBidi" w:hAnsiTheme="majorBidi" w:cstheme="majorBidi"/>
          <w:sz w:val="24"/>
          <w:szCs w:val="24"/>
        </w:rPr>
        <w:t xml:space="preserve"> expressions in liver tissues in the </w:t>
      </w:r>
      <w:r w:rsidR="00F57705" w:rsidRPr="006755FE">
        <w:rPr>
          <w:rFonts w:asciiTheme="majorBidi" w:hAnsiTheme="majorBidi" w:cstheme="majorBidi"/>
          <w:sz w:val="24"/>
          <w:szCs w:val="24"/>
        </w:rPr>
        <w:t xml:space="preserve">nuclei </w:t>
      </w:r>
      <w:r w:rsidRPr="006755FE">
        <w:rPr>
          <w:rFonts w:asciiTheme="majorBidi" w:hAnsiTheme="majorBidi" w:cstheme="majorBidi"/>
          <w:sz w:val="24"/>
          <w:szCs w:val="24"/>
        </w:rPr>
        <w:t xml:space="preserve">and/or </w:t>
      </w:r>
      <w:r w:rsidR="00F57705" w:rsidRPr="006755FE">
        <w:rPr>
          <w:rFonts w:asciiTheme="majorBidi" w:hAnsiTheme="majorBidi" w:cstheme="majorBidi"/>
          <w:sz w:val="24"/>
          <w:szCs w:val="24"/>
        </w:rPr>
        <w:t>cytoplasm</w:t>
      </w:r>
      <w:r w:rsidRPr="006755FE">
        <w:rPr>
          <w:rFonts w:asciiTheme="majorBidi" w:hAnsiTheme="majorBidi" w:cstheme="majorBidi"/>
          <w:sz w:val="24"/>
          <w:szCs w:val="24"/>
        </w:rPr>
        <w:t xml:space="preserve"> are illustrated in </w:t>
      </w:r>
      <w:r w:rsidRPr="006755FE">
        <w:rPr>
          <w:rFonts w:asciiTheme="majorBidi" w:hAnsiTheme="majorBidi" w:cstheme="majorBidi"/>
          <w:b/>
          <w:bCs/>
          <w:color w:val="4472C4" w:themeColor="accent1"/>
          <w:sz w:val="24"/>
          <w:szCs w:val="24"/>
        </w:rPr>
        <w:t>Figure</w:t>
      </w:r>
      <w:r w:rsidR="00743CAD">
        <w:rPr>
          <w:rFonts w:asciiTheme="majorBidi" w:hAnsiTheme="majorBidi" w:cstheme="majorBidi"/>
          <w:b/>
          <w:bCs/>
          <w:color w:val="4472C4" w:themeColor="accent1"/>
          <w:sz w:val="24"/>
          <w:szCs w:val="24"/>
        </w:rPr>
        <w:t>s</w:t>
      </w:r>
      <w:r w:rsidRPr="006755FE">
        <w:rPr>
          <w:rFonts w:asciiTheme="majorBidi" w:hAnsiTheme="majorBidi" w:cstheme="majorBidi"/>
          <w:b/>
          <w:bCs/>
          <w:color w:val="4472C4" w:themeColor="accent1"/>
          <w:sz w:val="24"/>
          <w:szCs w:val="24"/>
        </w:rPr>
        <w:t xml:space="preserve"> 4 </w:t>
      </w:r>
      <w:r w:rsidRPr="00743CAD">
        <w:rPr>
          <w:rFonts w:asciiTheme="majorBidi" w:hAnsiTheme="majorBidi" w:cstheme="majorBidi"/>
          <w:sz w:val="24"/>
          <w:szCs w:val="24"/>
        </w:rPr>
        <w:t>and</w:t>
      </w:r>
      <w:r w:rsidRPr="00743CAD">
        <w:rPr>
          <w:rFonts w:asciiTheme="majorBidi" w:hAnsiTheme="majorBidi" w:cstheme="majorBidi"/>
          <w:b/>
          <w:bCs/>
          <w:sz w:val="24"/>
          <w:szCs w:val="24"/>
        </w:rPr>
        <w:t xml:space="preserve"> </w:t>
      </w:r>
      <w:r w:rsidR="002A5DE1" w:rsidRPr="006755FE">
        <w:rPr>
          <w:rFonts w:asciiTheme="majorBidi" w:hAnsiTheme="majorBidi" w:cstheme="majorBidi"/>
          <w:b/>
          <w:bCs/>
          <w:color w:val="4472C4" w:themeColor="accent1"/>
          <w:sz w:val="24"/>
          <w:szCs w:val="24"/>
        </w:rPr>
        <w:t>5</w:t>
      </w:r>
      <w:r w:rsidR="002A5DE1" w:rsidRPr="002A5DE1">
        <w:rPr>
          <w:rFonts w:asciiTheme="majorBidi" w:hAnsiTheme="majorBidi" w:cstheme="majorBidi"/>
          <w:sz w:val="24"/>
          <w:szCs w:val="24"/>
        </w:rPr>
        <w:t>, respectively.</w:t>
      </w:r>
      <w:r w:rsidR="00B05467" w:rsidRPr="002A5DE1">
        <w:rPr>
          <w:rFonts w:asciiTheme="majorBidi" w:hAnsiTheme="majorBidi" w:cstheme="majorBidi"/>
          <w:sz w:val="24"/>
          <w:szCs w:val="24"/>
        </w:rPr>
        <w:t xml:space="preserve"> </w:t>
      </w:r>
      <w:r w:rsidRPr="006755FE">
        <w:rPr>
          <w:rFonts w:asciiTheme="majorBidi" w:hAnsiTheme="majorBidi" w:cstheme="majorBidi"/>
          <w:sz w:val="24"/>
          <w:szCs w:val="24"/>
        </w:rPr>
        <w:t xml:space="preserve">FU group or Cd group displaying </w:t>
      </w:r>
      <w:r w:rsidR="00743CAD">
        <w:rPr>
          <w:rFonts w:asciiTheme="majorBidi" w:hAnsiTheme="majorBidi" w:cstheme="majorBidi"/>
          <w:sz w:val="24"/>
          <w:szCs w:val="24"/>
        </w:rPr>
        <w:t xml:space="preserve">a </w:t>
      </w:r>
      <w:r w:rsidRPr="006755FE">
        <w:rPr>
          <w:rFonts w:asciiTheme="majorBidi" w:hAnsiTheme="majorBidi" w:cstheme="majorBidi"/>
          <w:sz w:val="24"/>
          <w:szCs w:val="24"/>
        </w:rPr>
        <w:t xml:space="preserve">moderate positive nuclear </w:t>
      </w:r>
      <w:r w:rsidR="00F57705">
        <w:rPr>
          <w:rFonts w:asciiTheme="majorBidi" w:hAnsiTheme="majorBidi" w:cstheme="majorBidi"/>
          <w:sz w:val="24"/>
          <w:szCs w:val="24"/>
        </w:rPr>
        <w:t xml:space="preserve">and cytoplasmic </w:t>
      </w:r>
      <w:r w:rsidRPr="006755FE">
        <w:rPr>
          <w:rFonts w:asciiTheme="majorBidi" w:hAnsiTheme="majorBidi" w:cstheme="majorBidi"/>
          <w:sz w:val="24"/>
          <w:szCs w:val="24"/>
        </w:rPr>
        <w:t>expression of PCNA and TNF</w:t>
      </w:r>
      <w:r w:rsidR="00743CAD">
        <w:rPr>
          <w:rFonts w:asciiTheme="majorBidi" w:hAnsiTheme="majorBidi" w:cstheme="majorBidi"/>
          <w:sz w:val="24"/>
          <w:szCs w:val="24"/>
        </w:rPr>
        <w:t>-</w:t>
      </w:r>
      <w:r w:rsidR="00E66E78" w:rsidRPr="006755FE">
        <w:rPr>
          <w:rFonts w:asciiTheme="majorBidi" w:hAnsiTheme="majorBidi" w:cstheme="majorBidi"/>
          <w:sz w:val="24"/>
          <w:szCs w:val="24"/>
        </w:rPr>
        <w:t xml:space="preserve">α </w:t>
      </w:r>
      <w:r w:rsidR="00B05467">
        <w:rPr>
          <w:rFonts w:asciiTheme="majorBidi" w:hAnsiTheme="majorBidi" w:cstheme="majorBidi"/>
          <w:sz w:val="24"/>
          <w:szCs w:val="24"/>
        </w:rPr>
        <w:t>in</w:t>
      </w:r>
      <w:r w:rsidRPr="006755FE">
        <w:rPr>
          <w:rFonts w:asciiTheme="majorBidi" w:hAnsiTheme="majorBidi" w:cstheme="majorBidi"/>
          <w:sz w:val="24"/>
          <w:szCs w:val="24"/>
        </w:rPr>
        <w:t xml:space="preserve"> hepatocytes compared to control group. Moreover, co-treatment with both remedies </w:t>
      </w:r>
      <w:r w:rsidR="002A5DE1" w:rsidRPr="002A5DE1">
        <w:rPr>
          <w:rStyle w:val="cf01"/>
          <w:rFonts w:asciiTheme="majorBidi" w:hAnsiTheme="majorBidi" w:cstheme="majorBidi"/>
          <w:sz w:val="24"/>
          <w:szCs w:val="24"/>
        </w:rPr>
        <w:t>exhibited intense positive nuclear and cytoplasmic expression of PCNA and TNF-α in hepatic tissue.</w:t>
      </w:r>
      <w:r w:rsidR="002A5DE1">
        <w:rPr>
          <w:rFonts w:asciiTheme="majorBidi" w:hAnsiTheme="majorBidi" w:cstheme="majorBidi"/>
          <w:sz w:val="24"/>
          <w:szCs w:val="24"/>
        </w:rPr>
        <w:t xml:space="preserve"> </w:t>
      </w:r>
    </w:p>
    <w:p w14:paraId="6359D3C3" w14:textId="6D8FA0FD" w:rsidR="00B05467" w:rsidRPr="00B05467" w:rsidRDefault="00B05467" w:rsidP="00155E46">
      <w:pPr>
        <w:bidi w:val="0"/>
        <w:spacing w:after="0" w:line="360" w:lineRule="auto"/>
        <w:ind w:right="29" w:firstLine="720"/>
        <w:jc w:val="both"/>
        <w:rPr>
          <w:rFonts w:asciiTheme="majorBidi" w:hAnsiTheme="majorBidi" w:cstheme="majorBidi"/>
          <w:sz w:val="24"/>
          <w:szCs w:val="24"/>
        </w:rPr>
      </w:pPr>
      <w:r w:rsidRPr="002A5DE1">
        <w:rPr>
          <w:rFonts w:asciiTheme="majorBidi" w:hAnsiTheme="majorBidi" w:cstheme="majorBidi"/>
          <w:sz w:val="24"/>
          <w:szCs w:val="24"/>
        </w:rPr>
        <w:t xml:space="preserve">Scoring of PCNA and TNF-α expressions induced by FU and/or Cd in liver are depicted in </w:t>
      </w:r>
      <w:r w:rsidRPr="002A5DE1">
        <w:rPr>
          <w:rFonts w:asciiTheme="majorBidi" w:hAnsiTheme="majorBidi" w:cstheme="majorBidi"/>
          <w:b/>
          <w:bCs/>
          <w:color w:val="4472C4" w:themeColor="accent1"/>
          <w:sz w:val="24"/>
          <w:szCs w:val="24"/>
        </w:rPr>
        <w:t>Figures 4f</w:t>
      </w:r>
      <w:r w:rsidRPr="002A5DE1">
        <w:rPr>
          <w:rFonts w:asciiTheme="majorBidi" w:hAnsiTheme="majorBidi" w:cstheme="majorBidi"/>
          <w:sz w:val="24"/>
          <w:szCs w:val="24"/>
        </w:rPr>
        <w:t xml:space="preserve"> and </w:t>
      </w:r>
      <w:r w:rsidRPr="002A5DE1">
        <w:rPr>
          <w:rFonts w:asciiTheme="majorBidi" w:hAnsiTheme="majorBidi" w:cstheme="majorBidi"/>
          <w:b/>
          <w:bCs/>
          <w:color w:val="4472C4" w:themeColor="accent1"/>
          <w:sz w:val="24"/>
          <w:szCs w:val="24"/>
        </w:rPr>
        <w:t xml:space="preserve">5f, </w:t>
      </w:r>
      <w:r w:rsidRPr="002A5DE1">
        <w:rPr>
          <w:rFonts w:asciiTheme="majorBidi" w:hAnsiTheme="majorBidi" w:cstheme="majorBidi"/>
          <w:sz w:val="24"/>
          <w:szCs w:val="24"/>
        </w:rPr>
        <w:t xml:space="preserve">respectively. </w:t>
      </w:r>
      <w:r w:rsidR="00271521" w:rsidRPr="002A5DE1">
        <w:rPr>
          <w:rFonts w:asciiTheme="majorBidi" w:hAnsiTheme="majorBidi" w:cstheme="majorBidi"/>
          <w:sz w:val="24"/>
          <w:szCs w:val="24"/>
        </w:rPr>
        <w:t xml:space="preserve">The data obtained from the immunohistochemical scoring revealed </w:t>
      </w:r>
      <w:r w:rsidR="00F073C3" w:rsidRPr="002A5DE1">
        <w:rPr>
          <w:rFonts w:asciiTheme="majorBidi" w:hAnsiTheme="majorBidi" w:cstheme="majorBidi"/>
          <w:sz w:val="24"/>
          <w:szCs w:val="24"/>
        </w:rPr>
        <w:t xml:space="preserve">that concurrent </w:t>
      </w:r>
      <w:r w:rsidRPr="002A5DE1">
        <w:rPr>
          <w:rFonts w:asciiTheme="majorBidi" w:hAnsiTheme="majorBidi" w:cstheme="majorBidi"/>
          <w:sz w:val="24"/>
          <w:szCs w:val="24"/>
        </w:rPr>
        <w:t>exposure to</w:t>
      </w:r>
      <w:r w:rsidR="00F073C3" w:rsidRPr="002A5DE1">
        <w:rPr>
          <w:rFonts w:asciiTheme="majorBidi" w:hAnsiTheme="majorBidi" w:cstheme="majorBidi"/>
          <w:sz w:val="24"/>
          <w:szCs w:val="24"/>
        </w:rPr>
        <w:t xml:space="preserve"> </w:t>
      </w:r>
      <w:r w:rsidRPr="002A5DE1">
        <w:rPr>
          <w:rFonts w:asciiTheme="majorBidi" w:hAnsiTheme="majorBidi" w:cstheme="majorBidi"/>
          <w:sz w:val="24"/>
          <w:szCs w:val="24"/>
        </w:rPr>
        <w:t>FU and Cd drastically aggravated the inflammatory and apoptotic process compared to their single exposure.</w:t>
      </w:r>
    </w:p>
    <w:p w14:paraId="6DDE56E2" w14:textId="22042699" w:rsidR="006755FE" w:rsidRDefault="00503065" w:rsidP="00503065">
      <w:pPr>
        <w:bidi w:val="0"/>
        <w:spacing w:line="360" w:lineRule="auto"/>
        <w:ind w:right="-64"/>
        <w:jc w:val="center"/>
        <w:rPr>
          <w:rFonts w:asciiTheme="majorBidi" w:hAnsiTheme="majorBidi" w:cstheme="majorBidi"/>
          <w:sz w:val="24"/>
          <w:szCs w:val="24"/>
        </w:rPr>
      </w:pPr>
      <w:r>
        <w:rPr>
          <w:noProof/>
        </w:rPr>
        <w:lastRenderedPageBreak/>
        <w:drawing>
          <wp:inline distT="0" distB="0" distL="0" distR="0" wp14:anchorId="2C6130DF" wp14:editId="2B8BD4DB">
            <wp:extent cx="6260465" cy="7035165"/>
            <wp:effectExtent l="0" t="0" r="6985" b="0"/>
            <wp:docPr id="1666110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60465" cy="7035165"/>
                    </a:xfrm>
                    <a:prstGeom prst="rect">
                      <a:avLst/>
                    </a:prstGeom>
                    <a:noFill/>
                    <a:ln>
                      <a:noFill/>
                    </a:ln>
                  </pic:spPr>
                </pic:pic>
              </a:graphicData>
            </a:graphic>
          </wp:inline>
        </w:drawing>
      </w:r>
    </w:p>
    <w:p w14:paraId="75795D9F" w14:textId="15978156" w:rsidR="003C5FFA" w:rsidRPr="00E66E78" w:rsidRDefault="003C5FFA" w:rsidP="00743CAD">
      <w:pPr>
        <w:bidi w:val="0"/>
        <w:spacing w:line="360" w:lineRule="auto"/>
        <w:ind w:right="49"/>
        <w:jc w:val="both"/>
        <w:rPr>
          <w:rFonts w:asciiTheme="majorBidi" w:hAnsiTheme="majorBidi" w:cstheme="majorBidi"/>
          <w:sz w:val="24"/>
          <w:szCs w:val="24"/>
        </w:rPr>
      </w:pPr>
      <w:r w:rsidRPr="00E66E78">
        <w:rPr>
          <w:rFonts w:asciiTheme="majorBidi" w:hAnsiTheme="majorBidi" w:cstheme="majorBidi"/>
          <w:b/>
          <w:bCs/>
          <w:color w:val="0070C0"/>
          <w:sz w:val="24"/>
          <w:szCs w:val="24"/>
        </w:rPr>
        <w:t>Figure 4</w:t>
      </w:r>
      <w:r w:rsidR="00743CAD" w:rsidRPr="00E66E78">
        <w:rPr>
          <w:rFonts w:asciiTheme="majorBidi" w:hAnsiTheme="majorBidi" w:cstheme="majorBidi"/>
          <w:b/>
          <w:bCs/>
          <w:color w:val="0070C0"/>
          <w:sz w:val="24"/>
          <w:szCs w:val="24"/>
        </w:rPr>
        <w:t>.</w:t>
      </w:r>
      <w:r w:rsidRPr="00E66E78">
        <w:rPr>
          <w:rFonts w:asciiTheme="majorBidi" w:hAnsiTheme="majorBidi" w:cstheme="majorBidi"/>
          <w:color w:val="0070C0"/>
          <w:sz w:val="24"/>
          <w:szCs w:val="24"/>
        </w:rPr>
        <w:t xml:space="preserve"> </w:t>
      </w:r>
      <w:r w:rsidRPr="00E66E78">
        <w:rPr>
          <w:rFonts w:asciiTheme="majorBidi" w:hAnsiTheme="majorBidi" w:cstheme="majorBidi"/>
          <w:sz w:val="24"/>
          <w:szCs w:val="24"/>
        </w:rPr>
        <w:t xml:space="preserve">Effects of FU and/or Cd on the expression of PCNA </w:t>
      </w:r>
      <w:r w:rsidR="002A5DE1" w:rsidRPr="00E66E78">
        <w:rPr>
          <w:rFonts w:asciiTheme="majorBidi" w:hAnsiTheme="majorBidi" w:cstheme="majorBidi"/>
          <w:sz w:val="24"/>
          <w:szCs w:val="24"/>
        </w:rPr>
        <w:t xml:space="preserve">in the </w:t>
      </w:r>
      <w:r w:rsidRPr="00E66E78">
        <w:rPr>
          <w:rFonts w:asciiTheme="majorBidi" w:hAnsiTheme="majorBidi" w:cstheme="majorBidi"/>
          <w:sz w:val="24"/>
          <w:szCs w:val="24"/>
        </w:rPr>
        <w:t xml:space="preserve">liver tissue of rats. Cr-water group (a) and Cr-oil group (b) </w:t>
      </w:r>
      <w:bookmarkStart w:id="9" w:name="_Hlk144326855"/>
      <w:r w:rsidRPr="00E66E78">
        <w:rPr>
          <w:rFonts w:asciiTheme="majorBidi" w:hAnsiTheme="majorBidi" w:cstheme="majorBidi"/>
          <w:sz w:val="24"/>
          <w:szCs w:val="24"/>
        </w:rPr>
        <w:t>marking scarce positive nuclear expression of PCNA along hepatocytes (arrow). FU or Cd</w:t>
      </w:r>
      <w:bookmarkEnd w:id="9"/>
      <w:r w:rsidR="00743CAD" w:rsidRPr="00E66E78">
        <w:rPr>
          <w:rFonts w:asciiTheme="majorBidi" w:hAnsiTheme="majorBidi" w:cstheme="majorBidi"/>
          <w:sz w:val="24"/>
          <w:szCs w:val="24"/>
        </w:rPr>
        <w:t>-</w:t>
      </w:r>
      <w:r w:rsidRPr="00E66E78">
        <w:rPr>
          <w:rFonts w:asciiTheme="majorBidi" w:hAnsiTheme="majorBidi" w:cstheme="majorBidi"/>
          <w:sz w:val="24"/>
          <w:szCs w:val="24"/>
        </w:rPr>
        <w:t>treated rats display</w:t>
      </w:r>
      <w:r w:rsidR="00AE48B5" w:rsidRPr="00E66E78">
        <w:rPr>
          <w:rFonts w:asciiTheme="majorBidi" w:hAnsiTheme="majorBidi" w:cstheme="majorBidi"/>
          <w:sz w:val="24"/>
          <w:szCs w:val="24"/>
        </w:rPr>
        <w:t>ed</w:t>
      </w:r>
      <w:r w:rsidRPr="00E66E78">
        <w:rPr>
          <w:rFonts w:asciiTheme="majorBidi" w:hAnsiTheme="majorBidi" w:cstheme="majorBidi"/>
          <w:sz w:val="24"/>
          <w:szCs w:val="24"/>
        </w:rPr>
        <w:t xml:space="preserve"> </w:t>
      </w:r>
      <w:r w:rsidR="00743CAD" w:rsidRPr="00E66E78">
        <w:rPr>
          <w:rFonts w:asciiTheme="majorBidi" w:hAnsiTheme="majorBidi" w:cstheme="majorBidi"/>
          <w:sz w:val="24"/>
          <w:szCs w:val="24"/>
        </w:rPr>
        <w:t xml:space="preserve">a </w:t>
      </w:r>
      <w:r w:rsidRPr="00E66E78">
        <w:rPr>
          <w:rFonts w:asciiTheme="majorBidi" w:hAnsiTheme="majorBidi" w:cstheme="majorBidi"/>
          <w:sz w:val="24"/>
          <w:szCs w:val="24"/>
        </w:rPr>
        <w:t xml:space="preserve">moderate positive nuclear expression of PCNA </w:t>
      </w:r>
      <w:r w:rsidR="00155E46" w:rsidRPr="00E66E78">
        <w:rPr>
          <w:rFonts w:asciiTheme="majorBidi" w:hAnsiTheme="majorBidi" w:cstheme="majorBidi"/>
          <w:sz w:val="24"/>
          <w:szCs w:val="24"/>
        </w:rPr>
        <w:t>in</w:t>
      </w:r>
      <w:r w:rsidRPr="00E66E78">
        <w:rPr>
          <w:rFonts w:asciiTheme="majorBidi" w:hAnsiTheme="majorBidi" w:cstheme="majorBidi"/>
          <w:sz w:val="24"/>
          <w:szCs w:val="24"/>
        </w:rPr>
        <w:t xml:space="preserve"> hepatocytes (arrow)</w:t>
      </w:r>
      <w:r w:rsidR="00802DE1" w:rsidRPr="00E66E78">
        <w:rPr>
          <w:rFonts w:asciiTheme="majorBidi" w:hAnsiTheme="majorBidi" w:cstheme="majorBidi"/>
          <w:sz w:val="24"/>
          <w:szCs w:val="24"/>
        </w:rPr>
        <w:t xml:space="preserve"> (c and d, respectively)</w:t>
      </w:r>
      <w:r w:rsidRPr="00E66E78">
        <w:rPr>
          <w:rFonts w:asciiTheme="majorBidi" w:hAnsiTheme="majorBidi" w:cstheme="majorBidi"/>
          <w:sz w:val="24"/>
          <w:szCs w:val="24"/>
        </w:rPr>
        <w:t>. FU+Cd treated rats exhibiting intense positive nuclear expression of PCNA along hepatocytes (arrow), and positive cytoplasmic expression (arrowhead)</w:t>
      </w:r>
      <w:r w:rsidR="00802DE1" w:rsidRPr="00E66E78">
        <w:rPr>
          <w:rFonts w:asciiTheme="majorBidi" w:hAnsiTheme="majorBidi" w:cstheme="majorBidi"/>
          <w:sz w:val="24"/>
          <w:szCs w:val="24"/>
        </w:rPr>
        <w:t xml:space="preserve"> (e)</w:t>
      </w:r>
      <w:r w:rsidRPr="00E66E78">
        <w:rPr>
          <w:rFonts w:asciiTheme="majorBidi" w:hAnsiTheme="majorBidi" w:cstheme="majorBidi"/>
          <w:sz w:val="24"/>
          <w:szCs w:val="24"/>
        </w:rPr>
        <w:t>.</w:t>
      </w:r>
      <w:r w:rsidR="00C779F4" w:rsidRPr="00E66E78">
        <w:rPr>
          <w:rFonts w:asciiTheme="majorBidi" w:hAnsiTheme="majorBidi" w:cstheme="majorBidi"/>
          <w:sz w:val="24"/>
          <w:szCs w:val="24"/>
        </w:rPr>
        <w:t xml:space="preserve"> </w:t>
      </w:r>
      <w:r w:rsidR="002A5DE1" w:rsidRPr="00E66E78">
        <w:rPr>
          <w:rFonts w:asciiTheme="majorBidi" w:hAnsiTheme="majorBidi" w:cstheme="majorBidi"/>
          <w:sz w:val="24"/>
          <w:szCs w:val="24"/>
        </w:rPr>
        <w:lastRenderedPageBreak/>
        <w:t>P</w:t>
      </w:r>
      <w:r w:rsidR="00734213" w:rsidRPr="00E66E78">
        <w:rPr>
          <w:rFonts w:asciiTheme="majorBidi" w:hAnsiTheme="majorBidi" w:cstheme="majorBidi"/>
          <w:sz w:val="24"/>
          <w:szCs w:val="24"/>
        </w:rPr>
        <w:t xml:space="preserve">&lt; 0.05. Values were expressed as mean ± SE. </w:t>
      </w:r>
      <w:r w:rsidR="00C779F4" w:rsidRPr="00E66E78">
        <w:rPr>
          <w:rFonts w:asciiTheme="majorBidi" w:hAnsiTheme="majorBidi" w:cstheme="majorBidi"/>
          <w:sz w:val="24"/>
          <w:szCs w:val="24"/>
        </w:rPr>
        <w:t xml:space="preserve"> </w:t>
      </w:r>
      <w:r w:rsidR="00802DE1" w:rsidRPr="00E66E78">
        <w:rPr>
          <w:rFonts w:asciiTheme="majorBidi" w:hAnsiTheme="majorBidi" w:cstheme="majorBidi"/>
          <w:sz w:val="24"/>
          <w:szCs w:val="24"/>
        </w:rPr>
        <w:t xml:space="preserve">The column chart shows </w:t>
      </w:r>
      <w:r w:rsidR="00271521" w:rsidRPr="00E66E78">
        <w:rPr>
          <w:rFonts w:asciiTheme="majorBidi" w:hAnsiTheme="majorBidi" w:cstheme="majorBidi"/>
          <w:sz w:val="24"/>
          <w:szCs w:val="24"/>
        </w:rPr>
        <w:t xml:space="preserve">the scoring of </w:t>
      </w:r>
      <w:r w:rsidR="00802DE1" w:rsidRPr="00E66E78">
        <w:rPr>
          <w:rFonts w:asciiTheme="majorBidi" w:hAnsiTheme="majorBidi" w:cstheme="majorBidi"/>
          <w:sz w:val="24"/>
          <w:szCs w:val="24"/>
        </w:rPr>
        <w:t>PCNA expression</w:t>
      </w:r>
      <w:r w:rsidR="00271521" w:rsidRPr="00E66E78">
        <w:rPr>
          <w:rFonts w:asciiTheme="majorBidi" w:hAnsiTheme="majorBidi" w:cstheme="majorBidi"/>
          <w:sz w:val="24"/>
          <w:szCs w:val="24"/>
        </w:rPr>
        <w:t xml:space="preserve"> </w:t>
      </w:r>
      <w:r w:rsidR="006F0D03" w:rsidRPr="00E66E78">
        <w:rPr>
          <w:rFonts w:asciiTheme="majorBidi" w:hAnsiTheme="majorBidi" w:cstheme="majorBidi"/>
          <w:sz w:val="24"/>
          <w:szCs w:val="24"/>
        </w:rPr>
        <w:t xml:space="preserve">in liver tissue </w:t>
      </w:r>
      <w:r w:rsidR="00271521" w:rsidRPr="00E66E78">
        <w:rPr>
          <w:rFonts w:asciiTheme="majorBidi" w:hAnsiTheme="majorBidi" w:cstheme="majorBidi"/>
          <w:sz w:val="24"/>
          <w:szCs w:val="24"/>
        </w:rPr>
        <w:t>among different treated groups</w:t>
      </w:r>
      <w:r w:rsidR="00802DE1" w:rsidRPr="00E66E78">
        <w:rPr>
          <w:rFonts w:asciiTheme="majorBidi" w:hAnsiTheme="majorBidi" w:cstheme="majorBidi"/>
          <w:sz w:val="24"/>
          <w:szCs w:val="24"/>
        </w:rPr>
        <w:t xml:space="preserve"> (f)</w:t>
      </w:r>
      <w:r w:rsidR="00271521" w:rsidRPr="00E66E78">
        <w:rPr>
          <w:rFonts w:asciiTheme="majorBidi" w:hAnsiTheme="majorBidi" w:cstheme="majorBidi"/>
          <w:sz w:val="24"/>
          <w:szCs w:val="24"/>
        </w:rPr>
        <w:t>.</w:t>
      </w:r>
      <w:r w:rsidR="00802DE1" w:rsidRPr="00E66E78">
        <w:rPr>
          <w:rFonts w:asciiTheme="majorBidi" w:hAnsiTheme="majorBidi" w:cstheme="majorBidi"/>
          <w:sz w:val="24"/>
          <w:szCs w:val="24"/>
        </w:rPr>
        <w:t xml:space="preserve"> </w:t>
      </w:r>
      <w:r w:rsidRPr="00E66E78">
        <w:rPr>
          <w:rFonts w:asciiTheme="majorBidi" w:hAnsiTheme="majorBidi" w:cstheme="majorBidi"/>
          <w:sz w:val="24"/>
          <w:szCs w:val="24"/>
        </w:rPr>
        <w:t xml:space="preserve">FU, Furan; Cd, cadmium; arrow, </w:t>
      </w:r>
      <w:r w:rsidR="00E66E78" w:rsidRPr="00E66E78">
        <w:rPr>
          <w:rFonts w:asciiTheme="majorBidi" w:hAnsiTheme="majorBidi" w:cstheme="majorBidi"/>
          <w:sz w:val="24"/>
          <w:szCs w:val="24"/>
        </w:rPr>
        <w:t>nuclear expression of PCNA along hepatocytes</w:t>
      </w:r>
      <w:r w:rsidRPr="00E66E78">
        <w:rPr>
          <w:rFonts w:asciiTheme="majorBidi" w:hAnsiTheme="majorBidi" w:cstheme="majorBidi"/>
          <w:sz w:val="24"/>
          <w:szCs w:val="24"/>
        </w:rPr>
        <w:t>; arrowhead, cytoplasmic expression</w:t>
      </w:r>
      <w:r w:rsidR="00E66E78" w:rsidRPr="00E66E78">
        <w:rPr>
          <w:rFonts w:asciiTheme="majorBidi" w:hAnsiTheme="majorBidi" w:cstheme="majorBidi"/>
          <w:sz w:val="24"/>
          <w:szCs w:val="24"/>
        </w:rPr>
        <w:t xml:space="preserve"> of PCNA along hepatocytes</w:t>
      </w:r>
      <w:r w:rsidRPr="00E66E78">
        <w:rPr>
          <w:rFonts w:asciiTheme="majorBidi" w:hAnsiTheme="majorBidi" w:cstheme="majorBidi"/>
          <w:sz w:val="24"/>
          <w:szCs w:val="24"/>
        </w:rPr>
        <w:t>. (</w:t>
      </w:r>
      <w:r w:rsidR="00743CAD" w:rsidRPr="00E66E78">
        <w:rPr>
          <w:rFonts w:asciiTheme="majorBidi" w:hAnsiTheme="majorBidi" w:cstheme="majorBidi"/>
          <w:sz w:val="24"/>
          <w:szCs w:val="24"/>
        </w:rPr>
        <w:t>Bars</w:t>
      </w:r>
      <w:r w:rsidRPr="00E66E78">
        <w:rPr>
          <w:rFonts w:asciiTheme="majorBidi" w:hAnsiTheme="majorBidi" w:cstheme="majorBidi"/>
          <w:sz w:val="24"/>
          <w:szCs w:val="24"/>
        </w:rPr>
        <w:t xml:space="preserve"> = 50 µm)</w:t>
      </w:r>
    </w:p>
    <w:p w14:paraId="721560A5" w14:textId="2EA1AC1D" w:rsidR="00503065" w:rsidRDefault="00503065" w:rsidP="00AE48B5">
      <w:pPr>
        <w:bidi w:val="0"/>
        <w:spacing w:line="360" w:lineRule="auto"/>
        <w:ind w:right="49"/>
        <w:jc w:val="both"/>
        <w:rPr>
          <w:rFonts w:asciiTheme="majorBidi" w:hAnsiTheme="majorBidi" w:cstheme="majorBidi"/>
          <w:b/>
          <w:bCs/>
          <w:color w:val="0070C0"/>
          <w:sz w:val="24"/>
          <w:szCs w:val="24"/>
        </w:rPr>
      </w:pPr>
      <w:r>
        <w:rPr>
          <w:noProof/>
        </w:rPr>
        <w:drawing>
          <wp:inline distT="0" distB="0" distL="0" distR="0" wp14:anchorId="40030D71" wp14:editId="32777337">
            <wp:extent cx="6260465" cy="7028815"/>
            <wp:effectExtent l="0" t="0" r="6985" b="635"/>
            <wp:docPr id="1847566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0465" cy="7028815"/>
                    </a:xfrm>
                    <a:prstGeom prst="rect">
                      <a:avLst/>
                    </a:prstGeom>
                    <a:noFill/>
                    <a:ln>
                      <a:noFill/>
                    </a:ln>
                  </pic:spPr>
                </pic:pic>
              </a:graphicData>
            </a:graphic>
          </wp:inline>
        </w:drawing>
      </w:r>
    </w:p>
    <w:p w14:paraId="74A3E0EC" w14:textId="432FD11F" w:rsidR="003C5FFA" w:rsidRPr="009002C8" w:rsidRDefault="003C5FFA" w:rsidP="00503065">
      <w:pPr>
        <w:bidi w:val="0"/>
        <w:spacing w:line="360" w:lineRule="auto"/>
        <w:ind w:right="49"/>
        <w:jc w:val="both"/>
        <w:rPr>
          <w:rFonts w:asciiTheme="majorBidi" w:hAnsiTheme="majorBidi" w:cstheme="majorBidi"/>
          <w:sz w:val="24"/>
          <w:szCs w:val="24"/>
        </w:rPr>
      </w:pPr>
      <w:r w:rsidRPr="009002C8">
        <w:rPr>
          <w:rFonts w:asciiTheme="majorBidi" w:hAnsiTheme="majorBidi" w:cstheme="majorBidi"/>
          <w:b/>
          <w:bCs/>
          <w:color w:val="0070C0"/>
          <w:sz w:val="24"/>
          <w:szCs w:val="24"/>
        </w:rPr>
        <w:lastRenderedPageBreak/>
        <w:t>Figure 5</w:t>
      </w:r>
      <w:r w:rsidR="00AE48B5" w:rsidRPr="009002C8">
        <w:rPr>
          <w:rFonts w:asciiTheme="majorBidi" w:hAnsiTheme="majorBidi" w:cstheme="majorBidi"/>
          <w:b/>
          <w:bCs/>
          <w:color w:val="0070C0"/>
          <w:sz w:val="24"/>
          <w:szCs w:val="24"/>
        </w:rPr>
        <w:t>.</w:t>
      </w:r>
      <w:r w:rsidRPr="009002C8">
        <w:rPr>
          <w:rFonts w:asciiTheme="majorBidi" w:hAnsiTheme="majorBidi" w:cstheme="majorBidi"/>
          <w:color w:val="0070C0"/>
          <w:sz w:val="24"/>
          <w:szCs w:val="24"/>
        </w:rPr>
        <w:t xml:space="preserve"> </w:t>
      </w:r>
      <w:r w:rsidRPr="009002C8">
        <w:rPr>
          <w:rFonts w:asciiTheme="majorBidi" w:hAnsiTheme="majorBidi" w:cstheme="majorBidi"/>
          <w:sz w:val="24"/>
          <w:szCs w:val="24"/>
        </w:rPr>
        <w:t xml:space="preserve">Effects of FU and/or Cd on the expression of </w:t>
      </w:r>
      <w:r w:rsidR="00743CAD" w:rsidRPr="009002C8">
        <w:rPr>
          <w:rFonts w:asciiTheme="majorBidi" w:hAnsiTheme="majorBidi" w:cstheme="majorBidi"/>
          <w:sz w:val="24"/>
          <w:szCs w:val="24"/>
        </w:rPr>
        <w:t>TNF-α</w:t>
      </w:r>
      <w:r w:rsidRPr="009002C8">
        <w:rPr>
          <w:rFonts w:asciiTheme="majorBidi" w:hAnsiTheme="majorBidi" w:cstheme="majorBidi"/>
          <w:sz w:val="24"/>
          <w:szCs w:val="24"/>
        </w:rPr>
        <w:t xml:space="preserve"> </w:t>
      </w:r>
      <w:r w:rsidR="002A5DE1" w:rsidRPr="009002C8">
        <w:rPr>
          <w:rFonts w:asciiTheme="majorBidi" w:hAnsiTheme="majorBidi" w:cstheme="majorBidi"/>
          <w:sz w:val="24"/>
          <w:szCs w:val="24"/>
        </w:rPr>
        <w:t xml:space="preserve">in the </w:t>
      </w:r>
      <w:r w:rsidRPr="009002C8">
        <w:rPr>
          <w:rFonts w:asciiTheme="majorBidi" w:hAnsiTheme="majorBidi" w:cstheme="majorBidi"/>
          <w:sz w:val="24"/>
          <w:szCs w:val="24"/>
        </w:rPr>
        <w:t xml:space="preserve">liver tissue of rats. control Cr-water group (a) and Cr-oil group (b) marking scarce </w:t>
      </w:r>
      <w:r w:rsidR="00E66E78" w:rsidRPr="009002C8">
        <w:rPr>
          <w:rFonts w:asciiTheme="majorBidi" w:hAnsiTheme="majorBidi" w:cstheme="majorBidi"/>
          <w:sz w:val="24"/>
          <w:szCs w:val="24"/>
        </w:rPr>
        <w:t>positive nuclear expression of TNF-α along hepatocytes (arrow)</w:t>
      </w:r>
      <w:r w:rsidRPr="009002C8">
        <w:rPr>
          <w:rFonts w:asciiTheme="majorBidi" w:hAnsiTheme="majorBidi" w:cstheme="majorBidi"/>
          <w:sz w:val="24"/>
          <w:szCs w:val="24"/>
        </w:rPr>
        <w:t>. FU</w:t>
      </w:r>
      <w:r w:rsidR="00AE48B5" w:rsidRPr="009002C8">
        <w:rPr>
          <w:rFonts w:asciiTheme="majorBidi" w:hAnsiTheme="majorBidi" w:cstheme="majorBidi"/>
          <w:sz w:val="24"/>
          <w:szCs w:val="24"/>
        </w:rPr>
        <w:t>-</w:t>
      </w:r>
      <w:r w:rsidRPr="009002C8">
        <w:rPr>
          <w:rFonts w:asciiTheme="majorBidi" w:hAnsiTheme="majorBidi" w:cstheme="majorBidi"/>
          <w:sz w:val="24"/>
          <w:szCs w:val="24"/>
        </w:rPr>
        <w:t xml:space="preserve"> or Cd</w:t>
      </w:r>
      <w:r w:rsidR="00AE48B5" w:rsidRPr="009002C8">
        <w:rPr>
          <w:rFonts w:asciiTheme="majorBidi" w:hAnsiTheme="majorBidi" w:cstheme="majorBidi"/>
          <w:sz w:val="24"/>
          <w:szCs w:val="24"/>
        </w:rPr>
        <w:t>-</w:t>
      </w:r>
      <w:r w:rsidRPr="009002C8">
        <w:rPr>
          <w:rFonts w:asciiTheme="majorBidi" w:hAnsiTheme="majorBidi" w:cstheme="majorBidi"/>
          <w:sz w:val="24"/>
          <w:szCs w:val="24"/>
        </w:rPr>
        <w:t xml:space="preserve">treated rats showing moderate positive </w:t>
      </w:r>
      <w:r w:rsidR="00E66E78" w:rsidRPr="009002C8">
        <w:rPr>
          <w:rFonts w:asciiTheme="majorBidi" w:hAnsiTheme="majorBidi" w:cstheme="majorBidi"/>
          <w:sz w:val="24"/>
          <w:szCs w:val="24"/>
        </w:rPr>
        <w:t>nuclear</w:t>
      </w:r>
      <w:r w:rsidRPr="009002C8">
        <w:rPr>
          <w:rFonts w:asciiTheme="majorBidi" w:hAnsiTheme="majorBidi" w:cstheme="majorBidi"/>
          <w:sz w:val="24"/>
          <w:szCs w:val="24"/>
        </w:rPr>
        <w:t xml:space="preserve"> expression of </w:t>
      </w:r>
      <w:r w:rsidR="006A5788" w:rsidRPr="009002C8">
        <w:rPr>
          <w:rFonts w:asciiTheme="majorBidi" w:hAnsiTheme="majorBidi" w:cstheme="majorBidi"/>
          <w:sz w:val="24"/>
          <w:szCs w:val="24"/>
        </w:rPr>
        <w:t xml:space="preserve">TNF-α </w:t>
      </w:r>
      <w:r w:rsidR="00155E46" w:rsidRPr="009002C8">
        <w:rPr>
          <w:rFonts w:asciiTheme="majorBidi" w:hAnsiTheme="majorBidi" w:cstheme="majorBidi"/>
          <w:sz w:val="24"/>
          <w:szCs w:val="24"/>
        </w:rPr>
        <w:t>in</w:t>
      </w:r>
      <w:r w:rsidRPr="009002C8">
        <w:rPr>
          <w:rFonts w:asciiTheme="majorBidi" w:hAnsiTheme="majorBidi" w:cstheme="majorBidi"/>
          <w:sz w:val="24"/>
          <w:szCs w:val="24"/>
        </w:rPr>
        <w:t xml:space="preserve"> hepatocytes (arrow)</w:t>
      </w:r>
      <w:r w:rsidR="006F0D03" w:rsidRPr="009002C8">
        <w:rPr>
          <w:rFonts w:asciiTheme="majorBidi" w:hAnsiTheme="majorBidi" w:cstheme="majorBidi"/>
          <w:sz w:val="24"/>
          <w:szCs w:val="24"/>
        </w:rPr>
        <w:t xml:space="preserve"> (c and d, respectively)</w:t>
      </w:r>
      <w:r w:rsidRPr="009002C8">
        <w:rPr>
          <w:rFonts w:asciiTheme="majorBidi" w:hAnsiTheme="majorBidi" w:cstheme="majorBidi"/>
          <w:sz w:val="24"/>
          <w:szCs w:val="24"/>
        </w:rPr>
        <w:t xml:space="preserve">. FU+Cd treated rats exhibiting </w:t>
      </w:r>
      <w:r w:rsidR="00C82434" w:rsidRPr="009002C8">
        <w:rPr>
          <w:rFonts w:asciiTheme="majorBidi" w:hAnsiTheme="majorBidi" w:cstheme="majorBidi"/>
          <w:sz w:val="24"/>
          <w:szCs w:val="24"/>
        </w:rPr>
        <w:t>intense positive nuclear expression of TNF-α along hepatocytes (arrow)</w:t>
      </w:r>
      <w:r w:rsidR="000139E2" w:rsidRPr="009002C8">
        <w:rPr>
          <w:rFonts w:asciiTheme="majorBidi" w:hAnsiTheme="majorBidi" w:cstheme="majorBidi"/>
          <w:sz w:val="24"/>
          <w:szCs w:val="24"/>
        </w:rPr>
        <w:t xml:space="preserve"> </w:t>
      </w:r>
      <w:r w:rsidR="006F0D03" w:rsidRPr="009002C8">
        <w:rPr>
          <w:rFonts w:asciiTheme="majorBidi" w:hAnsiTheme="majorBidi" w:cstheme="majorBidi"/>
          <w:sz w:val="24"/>
          <w:szCs w:val="24"/>
        </w:rPr>
        <w:t>(e)</w:t>
      </w:r>
      <w:r w:rsidR="00734213" w:rsidRPr="009002C8">
        <w:rPr>
          <w:rFonts w:asciiTheme="majorBidi" w:hAnsiTheme="majorBidi" w:cstheme="majorBidi"/>
          <w:sz w:val="24"/>
          <w:szCs w:val="24"/>
        </w:rPr>
        <w:t>.</w:t>
      </w:r>
      <w:r w:rsidR="00734213" w:rsidRPr="009002C8">
        <w:rPr>
          <w:rFonts w:asciiTheme="majorBidi" w:hAnsiTheme="majorBidi" w:cstheme="majorBidi"/>
          <w:b/>
          <w:bCs/>
          <w:color w:val="0070C0"/>
          <w:sz w:val="24"/>
          <w:szCs w:val="24"/>
        </w:rPr>
        <w:t xml:space="preserve"> Figure.5</w:t>
      </w:r>
      <w:r w:rsidR="00734213" w:rsidRPr="009002C8">
        <w:rPr>
          <w:rFonts w:asciiTheme="majorBidi" w:hAnsiTheme="majorBidi" w:cstheme="majorBidi"/>
          <w:sz w:val="24"/>
          <w:szCs w:val="24"/>
        </w:rPr>
        <w:t>f</w:t>
      </w:r>
      <w:r w:rsidR="00734213" w:rsidRPr="009002C8">
        <w:rPr>
          <w:rFonts w:asciiTheme="majorBidi" w:hAnsiTheme="majorBidi" w:cstheme="majorBidi"/>
          <w:b/>
          <w:bCs/>
          <w:color w:val="0070C0"/>
          <w:sz w:val="24"/>
          <w:szCs w:val="24"/>
        </w:rPr>
        <w:t xml:space="preserve"> </w:t>
      </w:r>
      <w:r w:rsidR="00734213" w:rsidRPr="009002C8">
        <w:rPr>
          <w:rFonts w:asciiTheme="majorBidi" w:hAnsiTheme="majorBidi" w:cstheme="majorBidi"/>
          <w:sz w:val="24"/>
          <w:szCs w:val="24"/>
        </w:rPr>
        <w:t xml:space="preserve">shows the lesion scoring of immunohistochemical alterations of hepatic cells among different treated groups. </w:t>
      </w:r>
      <w:r w:rsidR="006A5788" w:rsidRPr="009002C8">
        <w:rPr>
          <w:rFonts w:asciiTheme="majorBidi" w:hAnsiTheme="majorBidi" w:cstheme="majorBidi"/>
          <w:sz w:val="24"/>
          <w:szCs w:val="24"/>
        </w:rPr>
        <w:t>P</w:t>
      </w:r>
      <w:r w:rsidR="00734213" w:rsidRPr="009002C8">
        <w:rPr>
          <w:rFonts w:asciiTheme="majorBidi" w:hAnsiTheme="majorBidi" w:cstheme="majorBidi"/>
          <w:sz w:val="24"/>
          <w:szCs w:val="24"/>
        </w:rPr>
        <w:t>&lt; 0.05. Values were expressed as mean ± SE.</w:t>
      </w:r>
      <w:r w:rsidR="000139E2" w:rsidRPr="009002C8">
        <w:rPr>
          <w:rFonts w:asciiTheme="majorBidi" w:hAnsiTheme="majorBidi" w:cstheme="majorBidi"/>
          <w:sz w:val="24"/>
          <w:szCs w:val="24"/>
        </w:rPr>
        <w:t xml:space="preserve"> </w:t>
      </w:r>
      <w:r w:rsidR="006F0D03" w:rsidRPr="009002C8">
        <w:rPr>
          <w:rFonts w:asciiTheme="majorBidi" w:hAnsiTheme="majorBidi" w:cstheme="majorBidi"/>
          <w:sz w:val="24"/>
          <w:szCs w:val="24"/>
        </w:rPr>
        <w:t xml:space="preserve">The column chart shows the scoring of TNF-α expression in liver tissue among different treated groups (f). </w:t>
      </w:r>
      <w:r w:rsidRPr="009002C8">
        <w:rPr>
          <w:rFonts w:asciiTheme="majorBidi" w:hAnsiTheme="majorBidi" w:cstheme="majorBidi"/>
          <w:sz w:val="24"/>
          <w:szCs w:val="24"/>
        </w:rPr>
        <w:t xml:space="preserve">FU, Furan; Cd, cadmium; arrow, </w:t>
      </w:r>
      <w:r w:rsidR="004D2910" w:rsidRPr="009002C8">
        <w:rPr>
          <w:rFonts w:asciiTheme="majorBidi" w:hAnsiTheme="majorBidi" w:cstheme="majorBidi"/>
          <w:sz w:val="24"/>
          <w:szCs w:val="24"/>
        </w:rPr>
        <w:t>nuclear expression of TNF-α along hepatocytes</w:t>
      </w:r>
      <w:r w:rsidRPr="009002C8">
        <w:rPr>
          <w:rFonts w:asciiTheme="majorBidi" w:hAnsiTheme="majorBidi" w:cstheme="majorBidi"/>
          <w:sz w:val="24"/>
          <w:szCs w:val="24"/>
        </w:rPr>
        <w:t>. (</w:t>
      </w:r>
      <w:r w:rsidR="00AE48B5" w:rsidRPr="009002C8">
        <w:rPr>
          <w:rFonts w:asciiTheme="majorBidi" w:hAnsiTheme="majorBidi" w:cstheme="majorBidi"/>
          <w:sz w:val="24"/>
          <w:szCs w:val="24"/>
        </w:rPr>
        <w:t xml:space="preserve">Bars </w:t>
      </w:r>
      <w:r w:rsidRPr="009002C8">
        <w:rPr>
          <w:rFonts w:asciiTheme="majorBidi" w:hAnsiTheme="majorBidi" w:cstheme="majorBidi"/>
          <w:sz w:val="24"/>
          <w:szCs w:val="24"/>
        </w:rPr>
        <w:t>= 50 µm)</w:t>
      </w:r>
    </w:p>
    <w:p w14:paraId="35C452F9" w14:textId="5DDF928E" w:rsidR="006755FE" w:rsidRPr="006755FE" w:rsidRDefault="006755FE" w:rsidP="00AC18E4">
      <w:pPr>
        <w:bidi w:val="0"/>
        <w:spacing w:before="120" w:after="0" w:line="360" w:lineRule="auto"/>
        <w:rPr>
          <w:rFonts w:asciiTheme="majorBidi" w:hAnsiTheme="majorBidi" w:cstheme="majorBidi"/>
          <w:b/>
          <w:bCs/>
          <w:sz w:val="24"/>
          <w:szCs w:val="24"/>
        </w:rPr>
      </w:pPr>
      <w:r w:rsidRPr="006755FE">
        <w:rPr>
          <w:rFonts w:asciiTheme="majorBidi" w:hAnsiTheme="majorBidi" w:cstheme="majorBidi"/>
          <w:b/>
          <w:bCs/>
          <w:sz w:val="24"/>
          <w:szCs w:val="24"/>
        </w:rPr>
        <w:t xml:space="preserve">4. </w:t>
      </w:r>
      <w:r w:rsidR="00F14ED9" w:rsidRPr="006755FE">
        <w:rPr>
          <w:rFonts w:asciiTheme="majorBidi" w:hAnsiTheme="majorBidi" w:cstheme="majorBidi"/>
          <w:b/>
          <w:bCs/>
          <w:sz w:val="24"/>
          <w:szCs w:val="24"/>
        </w:rPr>
        <w:t>DISCUSSION</w:t>
      </w:r>
      <w:r w:rsidR="00F14ED9" w:rsidRPr="006755FE">
        <w:rPr>
          <w:rFonts w:asciiTheme="majorBidi" w:hAnsiTheme="majorBidi" w:cstheme="majorBidi"/>
          <w:sz w:val="24"/>
          <w:szCs w:val="24"/>
        </w:rPr>
        <w:t xml:space="preserve"> </w:t>
      </w:r>
    </w:p>
    <w:p w14:paraId="47AFDDD1" w14:textId="5420B9CE" w:rsidR="006755FE" w:rsidRPr="006755FE" w:rsidRDefault="006755FE" w:rsidP="00AC18E4">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FU is a naturally occurring</w:t>
      </w:r>
      <w:r w:rsidRPr="006755FE">
        <w:rPr>
          <w:rFonts w:asciiTheme="majorBidi" w:hAnsiTheme="majorBidi" w:cstheme="majorBidi"/>
          <w:b/>
          <w:bCs/>
          <w:sz w:val="24"/>
          <w:szCs w:val="24"/>
        </w:rPr>
        <w:t xml:space="preserve"> </w:t>
      </w:r>
      <w:r w:rsidRPr="006755FE">
        <w:rPr>
          <w:rFonts w:asciiTheme="majorBidi" w:hAnsiTheme="majorBidi" w:cstheme="majorBidi"/>
          <w:sz w:val="24"/>
          <w:szCs w:val="24"/>
        </w:rPr>
        <w:t xml:space="preserve">substance that may cause cancer and is found in many thermally driven processed foods having a number of negative impacts on biological systems </w:t>
      </w:r>
      <w:r w:rsidRPr="00DE4104">
        <w:rPr>
          <w:rFonts w:asciiTheme="majorBidi" w:hAnsiTheme="majorBidi" w:cstheme="majorBidi"/>
          <w:b/>
          <w:bCs/>
          <w:sz w:val="24"/>
          <w:szCs w:val="24"/>
        </w:rPr>
        <w:fldChar w:fldCharType="begin" w:fldLock="1"/>
      </w:r>
      <w:r w:rsidR="00F03936" w:rsidRPr="00DE4104">
        <w:rPr>
          <w:rFonts w:asciiTheme="majorBidi" w:hAnsiTheme="majorBidi" w:cstheme="majorBidi"/>
          <w:b/>
          <w:bCs/>
          <w:sz w:val="24"/>
          <w:szCs w:val="24"/>
        </w:rPr>
        <w:instrText>ADDIN CSL_CITATION {"citationItems":[{"id":"ITEM-1","itemData":{"ISSN":"1516-8913","author":[{"dropping-particle":"","family":"Pandir","given":"Dilek","non-dropping-particle":"","parse-names":false,"suffix":""}],"container-title":"Brazilian Archives of Biology and Technology","id":"ITEM-1","issued":{"date-parts":[["2015"]]},"page":"773-780","publisher":"SciELO Brasil","title":"Assessment of the DNA damage in human sperm and lymphocytes exposed to the carcinogen food contaminant furan with comet assay","type":"article-journal","volume":"58"},"uris":["http://www.mendeley.com/documents/?uuid=2796d239-2ce0-4bfc-a241-deb8eebf6c60","http://www.mendeley.com/documents/?uuid=9485c307-2b8e-4502-9196-5eae9dce8e27"]},{"id":"ITEM-2","itemData":{"ISSN":"0932-0067","author":[{"dropping-particle":"","family":"Uçar","given":"Semra","non-dropping-particle":"","parse-names":false,"suffix":""},{"dropping-particle":"","family":"Pandir","given":"Dilek","non-dropping-particle":"","parse-names":false,"suffix":""}],"container-title":"Archives of gynecology and obstetrics","id":"ITEM-2","issued":{"date-parts":[["2017"]]},"page":"1027-1037","publisher":"Springer","title":"Furan induced ovarian damage in non-diabetic and diabetic rats and cellular protective role of lycopene","type":"article-journal","volume":"296"},"uris":["http://www.mendeley.com/documents/?uuid=c61ce2f0-fb16-443a-9bee-e8223da71ac4","http://www.mendeley.com/documents/?uuid=887c8188-a403-41c6-a961-2124448b0170"]}],"mendeley":{"formattedCitation":"(Pandir, 2015; Uçar and Pandir, 2017)","plainTextFormattedCitation":"(Pandir, 2015; Uçar and Pandir, 2017)","previouslyFormattedCitation":"[4,23]"},"properties":{"noteIndex":0},"schema":"https://github.com/citation-style-language/schema/raw/master/csl-citation.json"}</w:instrText>
      </w:r>
      <w:r w:rsidRPr="00DE4104">
        <w:rPr>
          <w:rFonts w:asciiTheme="majorBidi" w:hAnsiTheme="majorBidi" w:cstheme="majorBidi"/>
          <w:b/>
          <w:bCs/>
          <w:sz w:val="24"/>
          <w:szCs w:val="24"/>
        </w:rPr>
        <w:fldChar w:fldCharType="separate"/>
      </w:r>
      <w:r w:rsidR="00F03936" w:rsidRPr="00DE4104">
        <w:rPr>
          <w:rFonts w:asciiTheme="majorBidi" w:hAnsiTheme="majorBidi" w:cstheme="majorBidi"/>
          <w:b/>
          <w:bCs/>
          <w:noProof/>
          <w:sz w:val="24"/>
          <w:szCs w:val="24"/>
        </w:rPr>
        <w:t>(Pandir, 2015; Uçar and Pandir, 2017)</w:t>
      </w:r>
      <w:r w:rsidRPr="00DE4104">
        <w:rPr>
          <w:rFonts w:asciiTheme="majorBidi" w:hAnsiTheme="majorBidi" w:cstheme="majorBidi"/>
          <w:b/>
          <w:bCs/>
          <w:sz w:val="24"/>
          <w:szCs w:val="24"/>
        </w:rPr>
        <w:fldChar w:fldCharType="end"/>
      </w:r>
      <w:r w:rsidRPr="006755FE">
        <w:rPr>
          <w:rFonts w:asciiTheme="majorBidi" w:hAnsiTheme="majorBidi" w:cstheme="majorBidi"/>
          <w:sz w:val="24"/>
          <w:szCs w:val="24"/>
        </w:rPr>
        <w:t xml:space="preserve">. While Exposure to toxic metals has grown to be a global issue, particularly, Cd is a hazardous occupational and environmental pollutant that even at low exposure levels could be harmful to both humans and animals. It is the most dangerous metal that is found naturally in the environment including cigarette smoke, air, soil, water, food, and beverages </w:t>
      </w:r>
      <w:r w:rsidRPr="00DE4104">
        <w:rPr>
          <w:rFonts w:asciiTheme="majorBidi" w:hAnsiTheme="majorBidi" w:cstheme="majorBidi"/>
          <w:b/>
          <w:bCs/>
          <w:sz w:val="24"/>
          <w:szCs w:val="24"/>
        </w:rPr>
        <w:fldChar w:fldCharType="begin" w:fldLock="1"/>
      </w:r>
      <w:r w:rsidR="00F03936" w:rsidRPr="00DE4104">
        <w:rPr>
          <w:rFonts w:asciiTheme="majorBidi" w:hAnsiTheme="majorBidi" w:cstheme="majorBidi"/>
          <w:b/>
          <w:bCs/>
          <w:sz w:val="24"/>
          <w:szCs w:val="24"/>
        </w:rPr>
        <w:instrText>ADDIN CSL_CITATION {"citationItems":[{"id":"ITEM-1","itemData":{"author":[{"dropping-particle":"","family":"Singh","given":"Neera","non-dropping-particle":"","parse-names":false,"suffix":""},{"dropping-particle":"","family":"Rani","given":"Poonam","non-dropping-particle":"","parse-names":false,"suffix":""},{"dropping-particle":"","family":"Gupta","given":"Manushma","non-dropping-particle":"","parse-names":false,"suffix":""},{"dropping-particle":"","family":"Tandan","given":"Neeraj","non-dropping-particle":"","parse-names":false,"suffix":""}],"container-title":"American Journal of Phytomedicine and Clinical Therapeutics","id":"ITEM-1","issue":"5","issued":{"date-parts":[["2013"]]},"page":"537-542","title":"Role of Green Tea on Cadmium Toxicity on Haematological Profile of Albino Rats","type":"article-journal","volume":"1"},"uris":["http://www.mendeley.com/documents/?uuid=00aab66c-6c4b-4f48-8d94-9dd54a638529","http://www.mendeley.com/documents/?uuid=a47a782c-1d49-41fe-84d4-83e1b8f1e7ad"]}],"mendeley":{"formattedCitation":"(Singh &lt;i&gt;et al.&lt;/i&gt;, 2013)","plainTextFormattedCitation":"(Singh et al., 2013)","previouslyFormattedCitation":"[24]"},"properties":{"noteIndex":0},"schema":"https://github.com/citation-style-language/schema/raw/master/csl-citation.json"}</w:instrText>
      </w:r>
      <w:r w:rsidRPr="00DE4104">
        <w:rPr>
          <w:rFonts w:asciiTheme="majorBidi" w:hAnsiTheme="majorBidi" w:cstheme="majorBidi"/>
          <w:b/>
          <w:bCs/>
          <w:sz w:val="24"/>
          <w:szCs w:val="24"/>
        </w:rPr>
        <w:fldChar w:fldCharType="separate"/>
      </w:r>
      <w:r w:rsidR="00F03936" w:rsidRPr="00DE4104">
        <w:rPr>
          <w:rFonts w:asciiTheme="majorBidi" w:hAnsiTheme="majorBidi" w:cstheme="majorBidi"/>
          <w:b/>
          <w:bCs/>
          <w:noProof/>
          <w:sz w:val="24"/>
          <w:szCs w:val="24"/>
        </w:rPr>
        <w:t xml:space="preserve">(Singh </w:t>
      </w:r>
      <w:r w:rsidR="00F03936" w:rsidRPr="00DE4104">
        <w:rPr>
          <w:rFonts w:asciiTheme="majorBidi" w:hAnsiTheme="majorBidi" w:cstheme="majorBidi"/>
          <w:b/>
          <w:bCs/>
          <w:i/>
          <w:noProof/>
          <w:sz w:val="24"/>
          <w:szCs w:val="24"/>
        </w:rPr>
        <w:t>et al.</w:t>
      </w:r>
      <w:r w:rsidR="00F03936" w:rsidRPr="00DE4104">
        <w:rPr>
          <w:rFonts w:asciiTheme="majorBidi" w:hAnsiTheme="majorBidi" w:cstheme="majorBidi"/>
          <w:b/>
          <w:bCs/>
          <w:noProof/>
          <w:sz w:val="24"/>
          <w:szCs w:val="24"/>
        </w:rPr>
        <w:t>, 2013)</w:t>
      </w:r>
      <w:r w:rsidRPr="00DE4104">
        <w:rPr>
          <w:rFonts w:asciiTheme="majorBidi" w:hAnsiTheme="majorBidi" w:cstheme="majorBidi"/>
          <w:b/>
          <w:bCs/>
          <w:sz w:val="24"/>
          <w:szCs w:val="24"/>
        </w:rPr>
        <w:fldChar w:fldCharType="end"/>
      </w:r>
      <w:r w:rsidRPr="006755FE">
        <w:rPr>
          <w:rFonts w:asciiTheme="majorBidi" w:hAnsiTheme="majorBidi" w:cstheme="majorBidi"/>
          <w:sz w:val="24"/>
          <w:szCs w:val="24"/>
        </w:rPr>
        <w:t>.</w:t>
      </w:r>
    </w:p>
    <w:p w14:paraId="40DD8014" w14:textId="04794F9E" w:rsidR="006755FE" w:rsidRPr="006755FE" w:rsidRDefault="006755FE" w:rsidP="00AC18E4">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 xml:space="preserve">FU is transformed by CYP2E1 into the cytotoxic metabolite BDA, which mediates FU toxicity by forming long-lasting bonds with proteins and nucleotides. Additionally, the metabolite promotes cell proliferation and uncouples mitochondrial oxidative phosphorylation as another feature of furan toxicity </w:t>
      </w:r>
      <w:r w:rsidRPr="00DE4104">
        <w:rPr>
          <w:rFonts w:asciiTheme="majorBidi" w:hAnsiTheme="majorBidi" w:cstheme="majorBidi"/>
          <w:b/>
          <w:bCs/>
          <w:sz w:val="24"/>
          <w:szCs w:val="24"/>
        </w:rPr>
        <w:fldChar w:fldCharType="begin" w:fldLock="1"/>
      </w:r>
      <w:r w:rsidR="00F03936" w:rsidRPr="00DE4104">
        <w:rPr>
          <w:rFonts w:asciiTheme="majorBidi" w:hAnsiTheme="majorBidi" w:cstheme="majorBidi"/>
          <w:b/>
          <w:bCs/>
          <w:sz w:val="24"/>
          <w:szCs w:val="24"/>
        </w:rPr>
        <w:instrText>ADDIN CSL_CITATION {"citationItems":[{"id":"ITEM-1","itemData":{"DOI":"10.1002/tox.20673","ISSN":"15204081","PMID":"21254322","abstract":"Furan is a chemical used in some industrial products and occurs naturally in heat-treated foods. We aimed to investigate the effects of orally administered furan on liver and kidney in growing Wistar male rats for 90 days. In this respect, biochemical, morphological, histopathological, and histomorphometrical examinations were performed. Three- to 4-week aged rats were divided into five groups of eight animals each; control, oil control; 2, 4, 8 mg/kg/day furan treatment groups. At the end of the experiment, antioxidant enzyme activities and serum AST, ALT, HDL, Urea, etc. levels were analyzed. Malondialdehyde (MDA) levels, superoxide dismutase (SOD), catalase (CAT), tumor necrosis factor-α (TNF-α), and interleukin-6 (IL-6) were also measured in liver homogenates. Also, liver and kidney were examined morphologically and histopathologically under light microscopy. According to the results of biochemical analysis, ALT, ALP, and LDL levels in treatment groups were significantly different compared with control groups. While LDL levels in treatment groups increased significantly, ALT and ALP levels decreased significantly. No significant changes were observed in liver MDA levels, superoxide dismutase and catalase activities in treatment groups. While IL-6 levels did not change in treatment groups, furan caused dose-dependent increases in liver TNF-α level of rats. In treatment groups, absolute and relative liver weights changed significantly, however, no significant changes were observed in kidney and relative kidney weights. Hyperemic blood vessels in the liver and congestion, edema, fibrosis, and tubular damage in the kidney of rats treated with furan were observed histopathologically. According to histomorphometric examinations, glomeruli diameters and glomerular volume decreased in the kidneys of rats in treatment groups. © 2011 Wiley Periodicals, Inc.","author":[{"dropping-particle":"","family":"Selmanoǧlu","given":"Güldeniz","non-dropping-particle":"","parse-names":false,"suffix":""},{"dropping-particle":"","family":"Karacaoǧlu","given":"Elif","non-dropping-particle":"","parse-names":false,"suffix":""},{"dropping-particle":"","family":"Kiliç","given":"Aysun","non-dropping-particle":"","parse-names":false,"suffix":""},{"dropping-particle":"","family":"Koçkaya","given":"E. Arzu","non-dropping-particle":"","parse-names":false,"suffix":""},{"dropping-particle":"","family":"Akay","given":"M. Turan","non-dropping-particle":"","parse-names":false,"suffix":""}],"container-title":"Environmental Toxicology","id":"ITEM-1","issue":"10","issued":{"date-parts":[["2012"]]},"page":"613-622","title":"Toxicity of food contaminant furan on liver and kidney of growing male rats","type":"article-journal","volume":"27"},"uris":["http://www.mendeley.com/documents/?uuid=99746c91-9d2b-415d-98a4-cdaba39fee07","http://www.mendeley.com/documents/?uuid=f3c7ee93-7d48-4018-8b20-2003eac22c61"]}],"mendeley":{"formattedCitation":"(Selmanoǧlu &lt;i&gt;et al.&lt;/i&gt;, 2012)","plainTextFormattedCitation":"(Selmanoǧlu et al., 2012)","previouslyFormattedCitation":"[25]"},"properties":{"noteIndex":0},"schema":"https://github.com/citation-style-language/schema/raw/master/csl-citation.json"}</w:instrText>
      </w:r>
      <w:r w:rsidRPr="00DE4104">
        <w:rPr>
          <w:rFonts w:asciiTheme="majorBidi" w:hAnsiTheme="majorBidi" w:cstheme="majorBidi"/>
          <w:b/>
          <w:bCs/>
          <w:sz w:val="24"/>
          <w:szCs w:val="24"/>
        </w:rPr>
        <w:fldChar w:fldCharType="separate"/>
      </w:r>
      <w:r w:rsidR="00F03936" w:rsidRPr="00DE4104">
        <w:rPr>
          <w:rFonts w:asciiTheme="majorBidi" w:hAnsiTheme="majorBidi" w:cstheme="majorBidi"/>
          <w:b/>
          <w:bCs/>
          <w:noProof/>
          <w:sz w:val="24"/>
          <w:szCs w:val="24"/>
        </w:rPr>
        <w:t xml:space="preserve">(Selmanoǧlu </w:t>
      </w:r>
      <w:r w:rsidR="00F03936" w:rsidRPr="00DE4104">
        <w:rPr>
          <w:rFonts w:asciiTheme="majorBidi" w:hAnsiTheme="majorBidi" w:cstheme="majorBidi"/>
          <w:b/>
          <w:bCs/>
          <w:i/>
          <w:noProof/>
          <w:sz w:val="24"/>
          <w:szCs w:val="24"/>
        </w:rPr>
        <w:t>et al.</w:t>
      </w:r>
      <w:r w:rsidR="00F03936" w:rsidRPr="00DE4104">
        <w:rPr>
          <w:rFonts w:asciiTheme="majorBidi" w:hAnsiTheme="majorBidi" w:cstheme="majorBidi"/>
          <w:b/>
          <w:bCs/>
          <w:noProof/>
          <w:sz w:val="24"/>
          <w:szCs w:val="24"/>
        </w:rPr>
        <w:t>, 2012)</w:t>
      </w:r>
      <w:r w:rsidRPr="00DE4104">
        <w:rPr>
          <w:rFonts w:asciiTheme="majorBidi" w:hAnsiTheme="majorBidi" w:cstheme="majorBidi"/>
          <w:b/>
          <w:bCs/>
          <w:sz w:val="24"/>
          <w:szCs w:val="24"/>
        </w:rPr>
        <w:fldChar w:fldCharType="end"/>
      </w:r>
      <w:r w:rsidRPr="006755FE">
        <w:rPr>
          <w:rFonts w:asciiTheme="majorBidi" w:hAnsiTheme="majorBidi" w:cstheme="majorBidi"/>
          <w:sz w:val="24"/>
          <w:szCs w:val="24"/>
        </w:rPr>
        <w:t xml:space="preserve">. Moreover, Cd has a greater affinity for compounds found within biological cells that contain sulfur, like glutathione (GSH), catalase (CAT), and metallothionein (MT). According to </w:t>
      </w:r>
      <w:r w:rsidR="00C80D67" w:rsidRPr="006755FE">
        <w:rPr>
          <w:rFonts w:asciiTheme="majorBidi" w:hAnsiTheme="majorBidi" w:cstheme="majorBidi"/>
          <w:b/>
          <w:bCs/>
          <w:sz w:val="24"/>
          <w:szCs w:val="24"/>
        </w:rPr>
        <w:fldChar w:fldCharType="begin" w:fldLock="1"/>
      </w:r>
      <w:r w:rsidR="00C80D67" w:rsidRPr="006755FE">
        <w:rPr>
          <w:rFonts w:asciiTheme="majorBidi" w:hAnsiTheme="majorBidi" w:cstheme="majorBidi"/>
          <w:b/>
          <w:bCs/>
          <w:sz w:val="24"/>
          <w:szCs w:val="24"/>
        </w:rPr>
        <w:instrText>ADDIN CSL_CITATION {"citationItems":[{"id":"ITEM-1","itemData":{"DOI":"10.1080/09603123.2013.835032","ISBN":"1369-1619 (Electronic)\\r0960-3123 (Linking)","ISSN":"13691619","PMID":"24117228","abstract":"Cadmium is a widespread toxic pollutant of occupational and environmental concern because of its diverse toxic effects: extremely protracted biological half-life (approximately 20-30 years in humans), low rate of excretion from the body and storage predominantly in soft tissues (primarily, liver and kidneys). It is an extremely toxic element of continuing concern because environmental levels have risen steadily due to continued worldwide anthropogenic mobilization. Cadmium is absorbed in significant quantities from cigarette smoke, food, water and air contamination and is known to have numerous undesirable effects in both humans and animals. Cadmium has a diversity of toxic effects including nephrotoxicity, carcinogenicity, teratogenicity and endocrine and reproductive toxicities. At the cellular level, cadmium affects cell proliferation, differentiation, apoptosis and other cellular activities. Current evidence suggests that exposure to cadmium induces genomic instability through complex and multifactorial mechanisms. Most important seems to be cadmium interaction with DNA repair mechanism, generation of reactive oxygen species and induction of apoptosis. In this article, we have reviewed recent developments and findings on cadmium toxicology.","author":[{"dropping-particle":"","family":"Rani","given":"Anju","non-dropping-particle":"","parse-names":false,"suffix":""},{"dropping-particle":"","family":"Kumar","given":"Anuj","non-dropping-particle":"","parse-names":false,"suffix":""},{"dropping-particle":"","family":"Lal","given":"Ankita","non-dropping-particle":"","parse-names":false,"suffix":""},{"dropping-particle":"","family":"Pant","given":"Manu","non-dropping-particle":"","parse-names":false,"suffix":""}],"container-title":"International Journal of Environmental Health Research","id":"ITEM-1","issue":"4","issued":{"date-parts":[["2014"]]},"page":"378-399","publisher":"Taylor &amp; Francis","title":"Cellular mechanisms of cadmium-induced toxicity: A review","type":"article-journal","volume":"24"},"uris":["http://www.mendeley.com/documents/?uuid=bb99a124-fe4d-4c7c-afcb-0da7ea860bea"]}],"mendeley":{"formattedCitation":"(Rani et al., 2014)","manualFormatting":"Rani et al., (2014)","plainTextFormattedCitation":"(Rani et al., 2014)","previouslyFormattedCitation":"(Rani et al., 2014)"},"properties":{"noteIndex":0},"schema":"https://github.com/citation-style-language/schema/raw/master/csl-citation.json"}</w:instrText>
      </w:r>
      <w:r w:rsidR="00C80D67" w:rsidRPr="006755FE">
        <w:rPr>
          <w:rFonts w:asciiTheme="majorBidi" w:hAnsiTheme="majorBidi" w:cstheme="majorBidi"/>
          <w:b/>
          <w:bCs/>
          <w:sz w:val="24"/>
          <w:szCs w:val="24"/>
        </w:rPr>
        <w:fldChar w:fldCharType="separate"/>
      </w:r>
      <w:r w:rsidR="00C80D67" w:rsidRPr="006755FE">
        <w:rPr>
          <w:rFonts w:asciiTheme="majorBidi" w:hAnsiTheme="majorBidi" w:cstheme="majorBidi"/>
          <w:b/>
          <w:bCs/>
          <w:noProof/>
          <w:sz w:val="24"/>
          <w:szCs w:val="24"/>
        </w:rPr>
        <w:t xml:space="preserve">Rani </w:t>
      </w:r>
      <w:r w:rsidR="00C80D67" w:rsidRPr="00756FFE">
        <w:rPr>
          <w:rFonts w:asciiTheme="majorBidi" w:hAnsiTheme="majorBidi" w:cstheme="majorBidi"/>
          <w:b/>
          <w:bCs/>
          <w:i/>
          <w:iCs/>
          <w:noProof/>
          <w:sz w:val="24"/>
          <w:szCs w:val="24"/>
        </w:rPr>
        <w:t>et al</w:t>
      </w:r>
      <w:r w:rsidR="00C80D67" w:rsidRPr="006755FE">
        <w:rPr>
          <w:rFonts w:asciiTheme="majorBidi" w:hAnsiTheme="majorBidi" w:cstheme="majorBidi"/>
          <w:b/>
          <w:bCs/>
          <w:noProof/>
          <w:sz w:val="24"/>
          <w:szCs w:val="24"/>
        </w:rPr>
        <w:t>., (2014)</w:t>
      </w:r>
      <w:r w:rsidR="00C80D67" w:rsidRPr="006755FE">
        <w:rPr>
          <w:rFonts w:asciiTheme="majorBidi" w:hAnsiTheme="majorBidi" w:cstheme="majorBidi"/>
          <w:b/>
          <w:bCs/>
          <w:sz w:val="24"/>
          <w:szCs w:val="24"/>
        </w:rPr>
        <w:fldChar w:fldCharType="end"/>
      </w:r>
      <w:r w:rsidRPr="006755FE">
        <w:rPr>
          <w:rFonts w:asciiTheme="majorBidi" w:hAnsiTheme="majorBidi" w:cstheme="majorBidi"/>
          <w:sz w:val="24"/>
          <w:szCs w:val="24"/>
        </w:rPr>
        <w:t>, the liver expresses significant levels of MT that is essential for the sequestration and detoxification of Cd. The primary modulatory mechanism of Cd-induced cytotoxicity is the disruption of molecules containing SH, especially those that are involved in detoxification and oxidative phosphorylation. The present investigation found that treatment with either FU or Cd alone or in combination led to hepatic dysfunctions marked by elevations in serum biochemical indicators as well as histological alterations.</w:t>
      </w:r>
      <w:r w:rsidRPr="006755FE">
        <w:rPr>
          <w:rFonts w:asciiTheme="majorBidi" w:hAnsiTheme="majorBidi" w:cstheme="majorBidi"/>
          <w:b/>
          <w:bCs/>
          <w:sz w:val="24"/>
          <w:szCs w:val="24"/>
        </w:rPr>
        <w:t xml:space="preserve"> </w:t>
      </w:r>
    </w:p>
    <w:p w14:paraId="0C87615A" w14:textId="7D483A33" w:rsidR="006755FE" w:rsidRPr="006755FE" w:rsidRDefault="006755FE" w:rsidP="00AC18E4">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According to our findings, the experimental rats' exposure to FU and Cd changed the redox balance in their livers. The loss of redox equilibrium resulted in oxidative damage to DNA, pro-inflammatory response</w:t>
      </w:r>
      <w:r w:rsidR="00AC18E4">
        <w:rPr>
          <w:rFonts w:asciiTheme="majorBidi" w:hAnsiTheme="majorBidi" w:cstheme="majorBidi"/>
          <w:sz w:val="24"/>
          <w:szCs w:val="24"/>
        </w:rPr>
        <w:t xml:space="preserve">, </w:t>
      </w:r>
      <w:r w:rsidRPr="006755FE">
        <w:rPr>
          <w:rFonts w:asciiTheme="majorBidi" w:hAnsiTheme="majorBidi" w:cstheme="majorBidi"/>
          <w:sz w:val="24"/>
          <w:szCs w:val="24"/>
        </w:rPr>
        <w:t xml:space="preserve">and apoptosis </w:t>
      </w:r>
      <w:r w:rsidR="00A9680E" w:rsidRPr="00C80D67">
        <w:rPr>
          <w:rFonts w:asciiTheme="majorBidi" w:hAnsiTheme="majorBidi" w:cstheme="majorBidi"/>
          <w:b/>
          <w:bCs/>
          <w:sz w:val="24"/>
          <w:szCs w:val="24"/>
        </w:rPr>
        <w:fldChar w:fldCharType="begin" w:fldLock="1"/>
      </w:r>
      <w:r w:rsidR="00C80D67">
        <w:rPr>
          <w:rFonts w:asciiTheme="majorBidi" w:hAnsiTheme="majorBidi" w:cstheme="majorBidi"/>
          <w:b/>
          <w:bCs/>
          <w:sz w:val="24"/>
          <w:szCs w:val="24"/>
        </w:rPr>
        <w:instrText>ADDIN CSL_CITATION {"citationItems":[{"id":"ITEM-1","itemData":{"DOI":"10.1590/1678-4324-2016150794","ISSN":"16784324","abstract":"Furan is a food and environmental contaminant and a potent carcinogen in animals. Lycopene is one dietary carotenoid found in fruits such as tomato, watermelon and grapefruit. The present study was designed to explore the protective effect of lycopene against furan-induced oxidative damage in streptozotocin (STZ)-induced diabetic rat kidney. At the end of the experimental period (28 days), we found that lycopene markedly decreased the malondialdehide (MDA) levels in the kidney, urea, uric acid and creatinine levels in the serum of furan-treated rats. The increase of histopathology in the kidney of furan-treated rats were effectively suppressed by lycopene. Furthermore, lycopene markedly restored superoxide dismutase (SOD), catalase (CAT), glutathione peroxidase (GPx) and glutathione-S-transferase (GST) activities in the kidney of furan-treated rats. In conclusion, these results suggested that lycopene could protect the rat kidney against furan-induced injury by improving renal function, attenuating histopathologic changes, reducing MDA production and renewing the activities of antioxidant enzymes.","author":[{"dropping-particle":"","family":"Pandir","given":"Dilek","non-dropping-particle":"","parse-names":false,"suffix":""},{"dropping-particle":"","family":"Unal","given":"Betul","non-dropping-particle":"","parse-names":false,"suffix":""},{"dropping-particle":"","family":"Bas","given":"Hatice","non-dropping-particle":"","parse-names":false,"suffix":""}],"container-title":"Brazilian Archives of Biology and Technology","id":"ITEM-1","issue":"December","issued":{"date-parts":[["2016"]]},"page":"1-12","title":"Lycopene Protects the Diabetic Rat Kidney Against Oxidative Stress-mediated Oxidative Damage Induced by Furan","type":"article-journal","volume":"59"},"uris":["http://www.mendeley.com/documents/?uuid=e7551fab-0074-4100-893b-46234cd30efb"]},{"id":"ITEM-2","itemData":{"DOI":"10.1007/s11356-019-05783-x","ISSN":"16147499","PMID":"31256392","abstract":"Cadmium (Cd) is a common environmental pollutant that threatens humans’ and animals’ health. Non-steroidal anti-inflammatory drugs (NSAIDs) are widely used drugs due to their wide therapeutic action; however, they have significant side effects. Since, under many circumstances, humans and animals may be co-exposed to Cd and NSAIDs, the current investigation was assigned to explore the intertwining relationship between Cd and NSAIDs. Four groups of male Wister rats were used: control group: rats received saline; Cd group: rats received cadmium (Cd, 2 mg/kg) orally; Px group: rats received a NSAID (piroxicam, Px, 7 mg/kg, i.p.); and Cd+Px group: rats received both Cd+Px. All treatments were given once a day for 28 consecutive days. Then, blood samples, stomach, liver, and kidney tissues were collected. The results indicated that Px provoked gastric ulcer indicated by high ulcer index, while Cd had no effect on the gastric mucosa. In addition, treatment with Cd or Px alone significantly induced liver and kidney injuries indicated by serum elevations of AST, ALT, ALP, ALB, total protein, creatinine, and urea along with histopathological alterations. Significant increases in malondialdehyde and reduction in GSH and CAT contents were reported along with up-regulated expression of Bax and Bcl-2 after Cd or Px exposure. However, when Cd and Px were given in a combination, Cd obviously potentiated the Px-inflicted cellular injury and death in the liver and kidney but not in the stomach when compared to their individual exposure. This study concluded that oxidative stress mechanisms were supposed to be the main modulator in promoting Cd and Px toxicities when given in combination.","author":[{"dropping-particle":"","family":"Abdeen","given":"Ahmed","non-dropping-particle":"","parse-names":false,"suffix":""},{"dropping-particle":"","family":"Abou-Zaid","given":"Omayma A.","non-dropping-particle":"","parse-names":false,"suffix":""},{"dropping-particle":"","family":"Abdel-Maksoud","given":"Hussein A.","non-dropping-particle":"","parse-names":false,"suffix":""},{"dropping-particle":"","family":"Aboubakr","given":"Mohamed","non-dropping-particle":"","parse-names":false,"suffix":""},{"dropping-particle":"","family":"Abdelkader","given":"Afaf","non-dropping-particle":"","parse-names":false,"suffix":""},{"dropping-particle":"","family":"Abdelnaby","given":"Amany","non-dropping-particle":"","parse-names":false,"suffix":""},{"dropping-particle":"","family":"Abo-Ahmed","given":"Ahmed I.","non-dropping-particle":"","parse-names":false,"suffix":""},{"dropping-particle":"","family":"El-Mleeh","given":"Amany","non-dropping-particle":"","parse-names":false,"suffix":""},{"dropping-particle":"","family":"Mostafa","given":"Ola","non-dropping-particle":"","parse-names":false,"suffix":""},{"dropping-particle":"","family":"Abdel-Daim","given":"Mohamed","non-dropping-particle":"","parse-names":false,"suffix":""},{"dropping-particle":"","family":"Aleya","given":"Lotfi","non-dropping-particle":"","parse-names":false,"suffix":""}],"container-title":"Environmental Science and Pollution Research","id":"ITEM-2","issue":"24","issued":{"date-parts":[["2019"]]},"page":"25167-25177","title":"Cadmium overload modulates piroxicam-regulated oxidative damage and apoptotic pathways","type":"article-journal","volume":"26"},"uris":["http://www.mendeley.com/documents/?uuid=1e561ba8-a3b4-4633-a65c-a3c5c1ee2240"]},{"id":"ITEM-3","itemData":{"DOI":"10.4236/odem.2019.74012","abstract":"Cadmium is a known environmental pollutant targeting various organs. Often implicated in cadmium toxicology is the formation of reactive oxygen species, overwhelming the free radical scavenging mechanisms and inducing oxidative stress. Acute cadmium intoxication has been shown to reduce antioxidant enzyme activity and induce oxidative stress. However, chronic intoxication has obscure outcomes in oxidative stress while the cell makes adjustments to overcome the toxicant load. Also linked with the occurrence of oxidative stress is inflammation. Stimulation of acute or chronic inflammation is mediated by different cascades. However, key events include activation of transcription factor, NF-κB and release of pro-inflammatory cytokines. Both oxidative stress and inflammation are implicated simultaneously in pathogenesis and induction of multi-organ tissue damage under cadmium exposure. This article reviews the impact of acute and chronic cadmium ...","author":[{"dropping-particle":"","family":"Das","given":"Sandra Concepcion","non-dropping-particle":"","parse-names":false,"suffix":""},{"dropping-particle":"","family":"Al-naemi","given":"Hamda A","non-dropping-particle":"","parse-names":false,"suffix":""}],"container-title":"Occupational Diseases and Environmental Medicine","id":"ITEM-3","issued":{"date-parts":[["2019"]]},"page":"144-163","title":"Cadmium Toxicity : Oxidative Stress , Inflammation and Tissue Injury","type":"article-journal"},"uris":["http://www.mendeley.com/documents/?uuid=6332e3c7-f1d4-4276-b567-0dacaa16531f"]},{"id":"ITEM-4","itemData":{"ISSN":"0192-6233","author":[{"dropping-particle":"","family":"Gill","given":"Santokh","n</w:instrText>
      </w:r>
      <w:r w:rsidR="00C80D67" w:rsidRPr="00C80D67">
        <w:rPr>
          <w:rFonts w:asciiTheme="majorBidi" w:hAnsiTheme="majorBidi" w:cstheme="majorBidi"/>
          <w:b/>
          <w:bCs/>
          <w:sz w:val="24"/>
          <w:szCs w:val="24"/>
          <w:lang w:val="fr-FR"/>
        </w:rPr>
        <w:instrText>on-dropping-particle":"","parse-names":false,"suffix":""},{"dropping-particle":"","family":"Kavanagh","given":"Meghan","non-dropping-particle":"","parse-names":false,"suffix":""},{"dropping-particle":"","family":"Poirier","given":"Christine","non-dropping-particle":"","parse-names":false,"suffix":""},{"dropping-particle":"","family":"Xie","given":"Ruixi","non-dropping-particle":"","parse-names":false,"suffix":""},{"dropping-particle":"","family":"Koerner","given":"Terry","non-dropping-particle":"","parse-names":false,"suffix":""}],"container-title":"Toxicologic Pathology","id":"ITEM-4","issue":"1","issued":{"date-parts":[["2022"]]},"page":"47-59","publisher":"SAGE Publications Sage CA: Los Angeles, CA","title":"Proteomic Analysis of Subchronic Furan Exposure in the Liver of Male Fischer F344 Rats","type":"article-journal","volume":"50"},"uris":["http://www.mendeley.com/documents/?uuid=c2157b08-53b8-418e-b943-b2b0cd57b462"]}],"mendeley":{"formattedCitation":"(Pandir, Unal and Bas, 2016; Abdeen, Abou-Zaid, &lt;i&gt;et al.&lt;/i&gt;, 2019; Das and Al-naemi, 2019; Gill &lt;i&gt;et al.&lt;/i&gt;, 2022)","manualFormatting":"(Pandir et al., 2016; Abdeen et al., 2019a; Das and Al-naemi, 2019; Gill et al., 2022)","plainTextFormattedCitation":"(Pandir, Unal and Bas, 2016; Abdeen, Abou-Zaid, et al., 2019; Das and Al-naemi, 2019; Gill et al., 2022)","previouslyFormattedCitation":"[22,27–29]"},"properties":{"noteIndex":0},"schema":"https://github.com/citation-style-language/schema/raw/master/csl-citation.json"}</w:instrText>
      </w:r>
      <w:r w:rsidR="00A9680E" w:rsidRPr="00C80D67">
        <w:rPr>
          <w:rFonts w:asciiTheme="majorBidi" w:hAnsiTheme="majorBidi" w:cstheme="majorBidi"/>
          <w:b/>
          <w:bCs/>
          <w:sz w:val="24"/>
          <w:szCs w:val="24"/>
        </w:rPr>
        <w:fldChar w:fldCharType="separate"/>
      </w:r>
      <w:r w:rsidR="00F03936" w:rsidRPr="00C80D67">
        <w:rPr>
          <w:rFonts w:asciiTheme="majorBidi" w:hAnsiTheme="majorBidi" w:cstheme="majorBidi"/>
          <w:b/>
          <w:bCs/>
          <w:noProof/>
          <w:sz w:val="24"/>
          <w:szCs w:val="24"/>
          <w:lang w:val="fr-FR"/>
        </w:rPr>
        <w:t>(</w:t>
      </w:r>
      <w:r w:rsidR="00C80D67" w:rsidRPr="00C80D67">
        <w:rPr>
          <w:rFonts w:asciiTheme="majorBidi" w:hAnsiTheme="majorBidi" w:cstheme="majorBidi"/>
          <w:b/>
          <w:bCs/>
          <w:noProof/>
          <w:sz w:val="24"/>
          <w:szCs w:val="24"/>
          <w:lang w:val="fr-FR"/>
        </w:rPr>
        <w:t xml:space="preserve">Pandir </w:t>
      </w:r>
      <w:r w:rsidR="00C80D67" w:rsidRPr="00C80D67">
        <w:rPr>
          <w:rFonts w:asciiTheme="majorBidi" w:hAnsiTheme="majorBidi" w:cstheme="majorBidi"/>
          <w:b/>
          <w:bCs/>
          <w:i/>
          <w:iCs/>
          <w:noProof/>
          <w:sz w:val="24"/>
          <w:szCs w:val="24"/>
          <w:lang w:val="fr-FR"/>
        </w:rPr>
        <w:t>et al</w:t>
      </w:r>
      <w:r w:rsidR="00C80D67" w:rsidRPr="00C80D67">
        <w:rPr>
          <w:rFonts w:asciiTheme="majorBidi" w:hAnsiTheme="majorBidi" w:cstheme="majorBidi"/>
          <w:b/>
          <w:bCs/>
          <w:noProof/>
          <w:sz w:val="24"/>
          <w:szCs w:val="24"/>
          <w:lang w:val="fr-FR"/>
        </w:rPr>
        <w:t>., 2016</w:t>
      </w:r>
      <w:r w:rsidR="00F03936" w:rsidRPr="00C80D67">
        <w:rPr>
          <w:rFonts w:asciiTheme="majorBidi" w:hAnsiTheme="majorBidi" w:cstheme="majorBidi"/>
          <w:b/>
          <w:bCs/>
          <w:noProof/>
          <w:sz w:val="24"/>
          <w:szCs w:val="24"/>
          <w:lang w:val="fr-FR"/>
        </w:rPr>
        <w:t xml:space="preserve">; </w:t>
      </w:r>
      <w:r w:rsidR="00C80D67" w:rsidRPr="00C80D67">
        <w:rPr>
          <w:rFonts w:asciiTheme="majorBidi" w:hAnsiTheme="majorBidi" w:cstheme="majorBidi"/>
          <w:b/>
          <w:bCs/>
          <w:noProof/>
          <w:sz w:val="24"/>
          <w:szCs w:val="24"/>
          <w:lang w:val="fr-FR"/>
        </w:rPr>
        <w:t xml:space="preserve">Abdeen </w:t>
      </w:r>
      <w:r w:rsidR="00C80D67" w:rsidRPr="00C80D67">
        <w:rPr>
          <w:rFonts w:asciiTheme="majorBidi" w:hAnsiTheme="majorBidi" w:cstheme="majorBidi"/>
          <w:b/>
          <w:bCs/>
          <w:i/>
          <w:iCs/>
          <w:noProof/>
          <w:sz w:val="24"/>
          <w:szCs w:val="24"/>
          <w:lang w:val="fr-FR"/>
        </w:rPr>
        <w:t>et al</w:t>
      </w:r>
      <w:r w:rsidR="00C80D67" w:rsidRPr="00C80D67">
        <w:rPr>
          <w:rFonts w:asciiTheme="majorBidi" w:hAnsiTheme="majorBidi" w:cstheme="majorBidi"/>
          <w:b/>
          <w:bCs/>
          <w:noProof/>
          <w:sz w:val="24"/>
          <w:szCs w:val="24"/>
          <w:lang w:val="fr-FR"/>
        </w:rPr>
        <w:t>., 2019a</w:t>
      </w:r>
      <w:r w:rsidR="00F03936" w:rsidRPr="00C80D67">
        <w:rPr>
          <w:rFonts w:asciiTheme="majorBidi" w:hAnsiTheme="majorBidi" w:cstheme="majorBidi"/>
          <w:b/>
          <w:bCs/>
          <w:noProof/>
          <w:sz w:val="24"/>
          <w:szCs w:val="24"/>
          <w:lang w:val="fr-FR"/>
        </w:rPr>
        <w:t xml:space="preserve">; Das and Al-naemi, 2019; Gill </w:t>
      </w:r>
      <w:r w:rsidR="00F03936" w:rsidRPr="00C80D67">
        <w:rPr>
          <w:rFonts w:asciiTheme="majorBidi" w:hAnsiTheme="majorBidi" w:cstheme="majorBidi"/>
          <w:b/>
          <w:bCs/>
          <w:i/>
          <w:noProof/>
          <w:sz w:val="24"/>
          <w:szCs w:val="24"/>
          <w:lang w:val="fr-FR"/>
        </w:rPr>
        <w:t>et al.</w:t>
      </w:r>
      <w:r w:rsidR="00F03936" w:rsidRPr="00C80D67">
        <w:rPr>
          <w:rFonts w:asciiTheme="majorBidi" w:hAnsiTheme="majorBidi" w:cstheme="majorBidi"/>
          <w:b/>
          <w:bCs/>
          <w:noProof/>
          <w:sz w:val="24"/>
          <w:szCs w:val="24"/>
          <w:lang w:val="fr-FR"/>
        </w:rPr>
        <w:t>, 2022)</w:t>
      </w:r>
      <w:r w:rsidR="00A9680E" w:rsidRPr="00C80D67">
        <w:rPr>
          <w:rFonts w:asciiTheme="majorBidi" w:hAnsiTheme="majorBidi" w:cstheme="majorBidi"/>
          <w:b/>
          <w:bCs/>
          <w:sz w:val="24"/>
          <w:szCs w:val="24"/>
        </w:rPr>
        <w:fldChar w:fldCharType="end"/>
      </w:r>
      <w:r w:rsidRPr="00C80D67">
        <w:rPr>
          <w:rFonts w:asciiTheme="majorBidi" w:hAnsiTheme="majorBidi" w:cstheme="majorBidi"/>
          <w:sz w:val="24"/>
          <w:szCs w:val="24"/>
          <w:lang w:val="fr-FR"/>
        </w:rPr>
        <w:t xml:space="preserve">. </w:t>
      </w:r>
      <w:r w:rsidRPr="006755FE">
        <w:rPr>
          <w:rFonts w:asciiTheme="majorBidi" w:hAnsiTheme="majorBidi" w:cstheme="majorBidi"/>
          <w:sz w:val="24"/>
          <w:szCs w:val="24"/>
        </w:rPr>
        <w:t>It is widely recognized that when ROS level (hydrogen peroxide (H</w:t>
      </w:r>
      <w:r w:rsidRPr="006755FE">
        <w:rPr>
          <w:rFonts w:asciiTheme="majorBidi" w:hAnsiTheme="majorBidi" w:cstheme="majorBidi"/>
          <w:sz w:val="24"/>
          <w:szCs w:val="24"/>
          <w:vertAlign w:val="subscript"/>
        </w:rPr>
        <w:t>2</w:t>
      </w:r>
      <w:r w:rsidRPr="006755FE">
        <w:rPr>
          <w:rFonts w:asciiTheme="majorBidi" w:hAnsiTheme="majorBidi" w:cstheme="majorBidi"/>
          <w:sz w:val="24"/>
          <w:szCs w:val="24"/>
        </w:rPr>
        <w:t>O</w:t>
      </w:r>
      <w:r w:rsidRPr="006755FE">
        <w:rPr>
          <w:rFonts w:asciiTheme="majorBidi" w:hAnsiTheme="majorBidi" w:cstheme="majorBidi"/>
          <w:sz w:val="24"/>
          <w:szCs w:val="24"/>
          <w:vertAlign w:val="subscript"/>
        </w:rPr>
        <w:t>2</w:t>
      </w:r>
      <w:r w:rsidRPr="006755FE">
        <w:rPr>
          <w:rFonts w:asciiTheme="majorBidi" w:hAnsiTheme="majorBidi" w:cstheme="majorBidi"/>
          <w:sz w:val="24"/>
          <w:szCs w:val="24"/>
        </w:rPr>
        <w:t>), hydroxyl radicals (HO</w:t>
      </w:r>
      <w:r w:rsidRPr="006755FE">
        <w:rPr>
          <w:rFonts w:asciiTheme="majorBidi" w:hAnsiTheme="majorBidi" w:cstheme="majorBidi"/>
          <w:sz w:val="24"/>
          <w:szCs w:val="24"/>
          <w:vertAlign w:val="superscript"/>
        </w:rPr>
        <w:t>•</w:t>
      </w:r>
      <w:r w:rsidRPr="006755FE">
        <w:rPr>
          <w:rFonts w:asciiTheme="majorBidi" w:hAnsiTheme="majorBidi" w:cstheme="majorBidi"/>
          <w:sz w:val="24"/>
          <w:szCs w:val="24"/>
        </w:rPr>
        <w:t>), superoxide anions (O</w:t>
      </w:r>
      <w:r w:rsidRPr="008809A5">
        <w:rPr>
          <w:rFonts w:asciiTheme="majorBidi" w:hAnsiTheme="majorBidi" w:cstheme="majorBidi"/>
          <w:sz w:val="24"/>
          <w:szCs w:val="24"/>
          <w:vertAlign w:val="subscript"/>
        </w:rPr>
        <w:t>2</w:t>
      </w:r>
      <w:r w:rsidRPr="006755FE">
        <w:rPr>
          <w:rFonts w:asciiTheme="majorBidi" w:hAnsiTheme="majorBidi" w:cstheme="majorBidi"/>
          <w:sz w:val="24"/>
          <w:szCs w:val="24"/>
        </w:rPr>
        <w:t xml:space="preserve">¯)) above the endogenous antioxidant capacity, the </w:t>
      </w:r>
      <w:r w:rsidRPr="006755FE">
        <w:rPr>
          <w:rFonts w:asciiTheme="majorBidi" w:hAnsiTheme="majorBidi" w:cstheme="majorBidi"/>
          <w:sz w:val="24"/>
          <w:szCs w:val="24"/>
        </w:rPr>
        <w:lastRenderedPageBreak/>
        <w:t xml:space="preserve">cellular antioxidant state is altered, resulting in an oxidative stress instance. These processes culminated in the breakdown of mitochondrial redox hemostasis, accumulation of ROS, and subsequent activation of oxidative injury </w:t>
      </w:r>
      <w:r w:rsidRPr="00C80D67">
        <w:rPr>
          <w:rFonts w:asciiTheme="majorBidi" w:hAnsiTheme="majorBidi" w:cstheme="majorBidi"/>
          <w:b/>
          <w:bCs/>
          <w:sz w:val="24"/>
          <w:szCs w:val="24"/>
        </w:rPr>
        <w:fldChar w:fldCharType="begin" w:fldLock="1"/>
      </w:r>
      <w:r w:rsidR="00F03936" w:rsidRPr="00C80D67">
        <w:rPr>
          <w:rFonts w:asciiTheme="majorBidi" w:hAnsiTheme="majorBidi" w:cstheme="majorBidi"/>
          <w:b/>
          <w:bCs/>
          <w:sz w:val="24"/>
          <w:szCs w:val="24"/>
        </w:rPr>
        <w:instrText>ADDIN CSL_CITATION {"citationItems":[{"id":"ITEM-1","itemData":{"DOI":"10.1177/0960327107073810","ISBN":"0960-3271","ISSN":"09603271","PMID":"17698948","abstract":"The protective efficacy of diallyl tetrasulfide (DTS) from garlic on liver injury induced by cadmium (Cd) was investigated. In this study, Cd (3 mg/kg body weight) was administered subcutaneously for 3 weeks to induce toxicity. DTS was administered orally (10, 20 and 40 mg/kg body weight) for 3 weeks with subcutaneous (sc) injection of Cd. Cd-induced liver damage was evidenced from increased activities of serum hepatic enzymes, namely aspartate transaminase, alanine transaminase, alkaline phosphatase and lactate dehydrogenase, with significant elevation of lipid peroxidation indices (thiobarbituric acid reactive substances and hydroperoxides) and protein carbonyl groups in the liver. Rats subjected to Cd toxicity also showed a decline in the levels of total thiols, reduced glutathione (GSH), vitamin C and vitamin E, accompanied by an increased accumulation of Cd, and significantly decreased activities of superoxide dismutase, catalase (CAT), glutathione peroxidase, glutathione-S-transferase (GST), glutathione reductase, and glucose-6-phosphate dehydrogenase in the liver. Administration of DTS at 40 mg/kg body weight significantly normalised the activities of hepatic marker enzymes, compared to other doses of DTS (10 and 20 mg/kg body weight). In addition, DTS (40 mg/kg body weight) significantly reduced the accumulation of Cd and the level of lipid peroxidation, and restored the level of antioxidant defense in the liver. Histological studies also showed that administration of DTS to Cd-treated rats resulted in a marked improvement of hepatocytes morphology with mild portal inflammation. Our results suggest that DTS might play a vital role in protecting Cd-induced oxidative damage in the liver.","author":[{"dropping-particle":"","family":"Murugavel","given":"P.","non-dropping-particle":"","parse-names":false,"suffix":""},{"dropping-particle":"","family":"Pari","given":"L.","non-dropping-particle":"","parse-names":false,"suffix":""}],"container-title":"Human and Experimental Toxicology","id":"ITEM-1","issue":"6","issued":{"date-parts":[["2007"]]},"page":"527-534","title":"Effects of diallyl tetrasulfide on cadmium-induced oxidative damage in the liver of rats","type":"article-journal","volume":"26"},"uris":["http://www.mendeley.com/documents/?uuid=639cf051-8ab8-4c7d-86bb-808a30b7bb58","http://www.mendeley.com/documents/?uuid=243dddc7-a835-46d7-bab4-4e63bbabfef3"]}],"mendeley":{"formattedCitation":"(Murugavel and Pari, 2007)","plainTextFormattedCitation":"(Murugavel and Pari, 2007)","previouslyFormattedCitation":"[30]"},"properties":{"noteIndex":0},"schema":"https://github.com/citation-style-language/schema/raw/master/csl-citation.json"}</w:instrText>
      </w:r>
      <w:r w:rsidRPr="00C80D67">
        <w:rPr>
          <w:rFonts w:asciiTheme="majorBidi" w:hAnsiTheme="majorBidi" w:cstheme="majorBidi"/>
          <w:b/>
          <w:bCs/>
          <w:sz w:val="24"/>
          <w:szCs w:val="24"/>
        </w:rPr>
        <w:fldChar w:fldCharType="separate"/>
      </w:r>
      <w:r w:rsidR="00F03936" w:rsidRPr="00C80D67">
        <w:rPr>
          <w:rFonts w:asciiTheme="majorBidi" w:hAnsiTheme="majorBidi" w:cstheme="majorBidi"/>
          <w:b/>
          <w:bCs/>
          <w:noProof/>
          <w:sz w:val="24"/>
          <w:szCs w:val="24"/>
        </w:rPr>
        <w:t>(Murugavel and Pari, 2007)</w:t>
      </w:r>
      <w:r w:rsidRPr="00C80D67">
        <w:rPr>
          <w:rFonts w:asciiTheme="majorBidi" w:hAnsiTheme="majorBidi" w:cstheme="majorBidi"/>
          <w:b/>
          <w:bCs/>
          <w:sz w:val="24"/>
          <w:szCs w:val="24"/>
        </w:rPr>
        <w:fldChar w:fldCharType="end"/>
      </w:r>
      <w:r w:rsidRPr="006755FE">
        <w:rPr>
          <w:rFonts w:asciiTheme="majorBidi" w:hAnsiTheme="majorBidi" w:cstheme="majorBidi"/>
          <w:sz w:val="24"/>
          <w:szCs w:val="24"/>
        </w:rPr>
        <w:t>.</w:t>
      </w:r>
    </w:p>
    <w:p w14:paraId="40AE6441" w14:textId="3251B693" w:rsidR="006755FE" w:rsidRPr="006755FE" w:rsidRDefault="006755FE" w:rsidP="00AC18E4">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 xml:space="preserve">Free radical' produced by oxidative stress damages nucleic acids, lipid membranes, and proteins, which results in cell death </w:t>
      </w:r>
      <w:r w:rsidRPr="00C80D67">
        <w:rPr>
          <w:rFonts w:asciiTheme="majorBidi" w:hAnsiTheme="majorBidi" w:cstheme="majorBidi"/>
          <w:b/>
          <w:bCs/>
          <w:sz w:val="24"/>
          <w:szCs w:val="24"/>
        </w:rPr>
        <w:fldChar w:fldCharType="begin" w:fldLock="1"/>
      </w:r>
      <w:r w:rsidR="00F03936" w:rsidRPr="00C80D67">
        <w:rPr>
          <w:rFonts w:asciiTheme="majorBidi" w:hAnsiTheme="majorBidi" w:cstheme="majorBidi"/>
          <w:b/>
          <w:bCs/>
          <w:sz w:val="24"/>
          <w:szCs w:val="24"/>
        </w:rPr>
        <w:instrText>ADDIN CSL_CITATION {"citationItems":[{"id":"ITEM-1","itemData":{"ISSN":"2190-572X","author":[{"dropping-particle":"","family":"Sarkar","given":"Subendu","non-dropping-particle":"","parse-names":false,"suffix":""},{"dropping-particle":"","family":"Singh","given":"Rajender Pal","non-dropping-particle":"","parse-names":false,"suffix":""},{"dropping-particle":"","family":"Bhattacharya","given":"Gorachand","non-dropping-particle":"","parse-names":false,"suffix":""}],"container-title":"3 Biotech","id":"ITEM-1","issue":"4","issued":{"date-parts":[["2021"]]},"page":"178","publisher":"Springer","title":"Exploring the role of Azadirachta indica (neem) and its active compounds in the regulation of biological pathways: an update on molecular approach","type":"article-journal","volume":"11"},"uris":["http://www.mendeley.com/documents/?uuid=9348e158-ad4a-4ff8-b8ff-d1a4e65487e0","http://www.mendeley.com/documents/?uuid=c4cfd0d1-5fd2-477f-94a9-24a2de1f2db3"]}],"mendeley":{"formattedCitation":"(Sarkar, Singh and Bhattacharya, 2021)","plainTextFormattedCitation":"(Sarkar, Singh and Bhattacharya, 2021)","previouslyFormattedCitation":"[31]"},"properties":{"noteIndex":0},"schema":"https://github.com/citation-style-language/schema/raw/master/csl-citation.json"}</w:instrText>
      </w:r>
      <w:r w:rsidRPr="00C80D67">
        <w:rPr>
          <w:rFonts w:asciiTheme="majorBidi" w:hAnsiTheme="majorBidi" w:cstheme="majorBidi"/>
          <w:b/>
          <w:bCs/>
          <w:sz w:val="24"/>
          <w:szCs w:val="24"/>
        </w:rPr>
        <w:fldChar w:fldCharType="separate"/>
      </w:r>
      <w:r w:rsidR="00F03936" w:rsidRPr="00C80D67">
        <w:rPr>
          <w:rFonts w:asciiTheme="majorBidi" w:hAnsiTheme="majorBidi" w:cstheme="majorBidi"/>
          <w:b/>
          <w:bCs/>
          <w:noProof/>
          <w:sz w:val="24"/>
          <w:szCs w:val="24"/>
        </w:rPr>
        <w:t>(</w:t>
      </w:r>
      <w:r w:rsidR="00C80D67" w:rsidRPr="00C80D67">
        <w:rPr>
          <w:rFonts w:asciiTheme="majorBidi" w:hAnsiTheme="majorBidi" w:cstheme="majorBidi"/>
          <w:b/>
          <w:bCs/>
          <w:noProof/>
          <w:sz w:val="24"/>
          <w:szCs w:val="24"/>
        </w:rPr>
        <w:t xml:space="preserve">Sarkar </w:t>
      </w:r>
      <w:r w:rsidR="00C80D67" w:rsidRPr="00756FFE">
        <w:rPr>
          <w:rFonts w:asciiTheme="majorBidi" w:hAnsiTheme="majorBidi" w:cstheme="majorBidi"/>
          <w:b/>
          <w:bCs/>
          <w:i/>
          <w:iCs/>
          <w:noProof/>
          <w:sz w:val="24"/>
          <w:szCs w:val="24"/>
        </w:rPr>
        <w:t>et al</w:t>
      </w:r>
      <w:r w:rsidR="00C80D67" w:rsidRPr="00C80D67">
        <w:rPr>
          <w:rFonts w:asciiTheme="majorBidi" w:hAnsiTheme="majorBidi" w:cstheme="majorBidi"/>
          <w:b/>
          <w:bCs/>
          <w:noProof/>
          <w:sz w:val="24"/>
          <w:szCs w:val="24"/>
        </w:rPr>
        <w:t>., 2021</w:t>
      </w:r>
      <w:r w:rsidR="00F03936" w:rsidRPr="00C80D67">
        <w:rPr>
          <w:rFonts w:asciiTheme="majorBidi" w:hAnsiTheme="majorBidi" w:cstheme="majorBidi"/>
          <w:b/>
          <w:bCs/>
          <w:noProof/>
          <w:sz w:val="24"/>
          <w:szCs w:val="24"/>
        </w:rPr>
        <w:t>)</w:t>
      </w:r>
      <w:r w:rsidRPr="00C80D67">
        <w:rPr>
          <w:rFonts w:asciiTheme="majorBidi" w:hAnsiTheme="majorBidi" w:cstheme="majorBidi"/>
          <w:b/>
          <w:bCs/>
          <w:sz w:val="24"/>
          <w:szCs w:val="24"/>
        </w:rPr>
        <w:fldChar w:fldCharType="end"/>
      </w:r>
      <w:r w:rsidRPr="006755FE">
        <w:rPr>
          <w:rFonts w:asciiTheme="majorBidi" w:hAnsiTheme="majorBidi" w:cstheme="majorBidi"/>
          <w:sz w:val="24"/>
          <w:szCs w:val="24"/>
        </w:rPr>
        <w:t xml:space="preserve">. Antioxidant enzymes like CAT, GSH, SOD, and MDA can protect cellular components from the harm caused by free radicals. CAT speeds up the process by which </w:t>
      </w:r>
      <w:bookmarkStart w:id="10" w:name="_Hlk148910199"/>
      <w:r w:rsidRPr="006755FE">
        <w:rPr>
          <w:rFonts w:asciiTheme="majorBidi" w:hAnsiTheme="majorBidi" w:cstheme="majorBidi"/>
          <w:sz w:val="24"/>
          <w:szCs w:val="24"/>
        </w:rPr>
        <w:t>H</w:t>
      </w:r>
      <w:r w:rsidRPr="006755FE">
        <w:rPr>
          <w:rFonts w:asciiTheme="majorBidi" w:hAnsiTheme="majorBidi" w:cstheme="majorBidi"/>
          <w:sz w:val="24"/>
          <w:szCs w:val="24"/>
          <w:vertAlign w:val="subscript"/>
        </w:rPr>
        <w:t>2</w:t>
      </w:r>
      <w:r w:rsidRPr="006755FE">
        <w:rPr>
          <w:rFonts w:asciiTheme="majorBidi" w:hAnsiTheme="majorBidi" w:cstheme="majorBidi"/>
          <w:sz w:val="24"/>
          <w:szCs w:val="24"/>
        </w:rPr>
        <w:t>O</w:t>
      </w:r>
      <w:r w:rsidRPr="006755FE">
        <w:rPr>
          <w:rFonts w:asciiTheme="majorBidi" w:hAnsiTheme="majorBidi" w:cstheme="majorBidi"/>
          <w:sz w:val="24"/>
          <w:szCs w:val="24"/>
          <w:vertAlign w:val="subscript"/>
        </w:rPr>
        <w:t>2</w:t>
      </w:r>
      <w:bookmarkEnd w:id="10"/>
      <w:r w:rsidRPr="006755FE">
        <w:rPr>
          <w:rFonts w:asciiTheme="majorBidi" w:hAnsiTheme="majorBidi" w:cstheme="majorBidi"/>
          <w:sz w:val="24"/>
          <w:szCs w:val="24"/>
        </w:rPr>
        <w:t xml:space="preserve"> breaks down into water and oxygen. Fenton's reaction generates a lot of OH</w:t>
      </w:r>
      <w:r w:rsidRPr="006755FE">
        <w:rPr>
          <w:rFonts w:asciiTheme="majorBidi" w:hAnsiTheme="majorBidi" w:cstheme="majorBidi"/>
          <w:sz w:val="24"/>
          <w:szCs w:val="24"/>
          <w:vertAlign w:val="superscript"/>
        </w:rPr>
        <w:t>•</w:t>
      </w:r>
      <w:r w:rsidRPr="006755FE">
        <w:rPr>
          <w:rFonts w:asciiTheme="majorBidi" w:hAnsiTheme="majorBidi" w:cstheme="majorBidi"/>
          <w:sz w:val="24"/>
          <w:szCs w:val="24"/>
        </w:rPr>
        <w:t xml:space="preserve"> from H</w:t>
      </w:r>
      <w:r w:rsidRPr="006755FE">
        <w:rPr>
          <w:rFonts w:asciiTheme="majorBidi" w:hAnsiTheme="majorBidi" w:cstheme="majorBidi"/>
          <w:sz w:val="24"/>
          <w:szCs w:val="24"/>
          <w:vertAlign w:val="subscript"/>
        </w:rPr>
        <w:t>2</w:t>
      </w:r>
      <w:r w:rsidRPr="006755FE">
        <w:rPr>
          <w:rFonts w:asciiTheme="majorBidi" w:hAnsiTheme="majorBidi" w:cstheme="majorBidi"/>
          <w:sz w:val="24"/>
          <w:szCs w:val="24"/>
        </w:rPr>
        <w:t>O</w:t>
      </w:r>
      <w:r w:rsidRPr="006755FE">
        <w:rPr>
          <w:rFonts w:asciiTheme="majorBidi" w:hAnsiTheme="majorBidi" w:cstheme="majorBidi"/>
          <w:sz w:val="24"/>
          <w:szCs w:val="24"/>
          <w:vertAlign w:val="subscript"/>
        </w:rPr>
        <w:t>2</w:t>
      </w:r>
      <w:r w:rsidRPr="006755FE">
        <w:rPr>
          <w:rFonts w:asciiTheme="majorBidi" w:hAnsiTheme="majorBidi" w:cstheme="majorBidi"/>
          <w:sz w:val="24"/>
          <w:szCs w:val="24"/>
        </w:rPr>
        <w:t xml:space="preserve"> in the event of CAT depletion, which immediately assaults the membrane lipid and increases the generation of lipid peroxidation and MDA </w:t>
      </w:r>
      <w:r w:rsidRPr="00C80D67">
        <w:rPr>
          <w:rFonts w:asciiTheme="majorBidi" w:hAnsiTheme="majorBidi" w:cstheme="majorBidi"/>
          <w:b/>
          <w:bCs/>
          <w:sz w:val="24"/>
          <w:szCs w:val="24"/>
        </w:rPr>
        <w:fldChar w:fldCharType="begin" w:fldLock="1"/>
      </w:r>
      <w:r w:rsidR="00F03936" w:rsidRPr="00C80D67">
        <w:rPr>
          <w:rFonts w:asciiTheme="majorBidi" w:hAnsiTheme="majorBidi" w:cstheme="majorBidi"/>
          <w:b/>
          <w:bCs/>
          <w:sz w:val="24"/>
          <w:szCs w:val="24"/>
        </w:rPr>
        <w:instrText>ADDIN CSL_CITATION {"citationItems":[{"id":"ITEM-1","itemData":{"DOI":"10.1016/j.fct.2018.01.055","ISSN":"02786915","PMID":"29432839","author":[{"dropping-particle":"","family":"Abdel-Daim","given":"Mohamed M.","non-dropping-particle":"","parse-names":false,"suffix":""},{"dropping-particle":"","family":"Abdeen","given":"Ahmed","non-dropping-particle":"","parse-names":false,"suffix":""}],"container-title":"Food and Chemical Toxicology","id":"ITEM-1","issued":{"date-parts":[["2018","4"]]},"page":"69-77","title":"Protective effects of rosuvastatin and vitamin E against fipronil-mediated oxidative damage and apoptosis in rat liver and kidney","type":"article-journal","volume":"114"},"uris":["http://www.mendeley.com/documents/?uuid=2d3e05ae-f0de-4607-8fbb-3afe3ec8f40b"]}],"mendeley":{"formattedCitation":"(Abdel-Daim and Abdeen, 2018)","plainTextFormattedCitation":"(Abdel-Daim and Abdeen, 2018)","previouslyFormattedCitation":"[32]"},"properties":{"noteIndex":0},"schema":"https://github.com/citation-style-language/schema/raw/master/csl-citation.json"}</w:instrText>
      </w:r>
      <w:r w:rsidRPr="00C80D67">
        <w:rPr>
          <w:rFonts w:asciiTheme="majorBidi" w:hAnsiTheme="majorBidi" w:cstheme="majorBidi"/>
          <w:b/>
          <w:bCs/>
          <w:sz w:val="24"/>
          <w:szCs w:val="24"/>
        </w:rPr>
        <w:fldChar w:fldCharType="separate"/>
      </w:r>
      <w:r w:rsidR="00F03936" w:rsidRPr="00C80D67">
        <w:rPr>
          <w:rFonts w:asciiTheme="majorBidi" w:hAnsiTheme="majorBidi" w:cstheme="majorBidi"/>
          <w:b/>
          <w:bCs/>
          <w:noProof/>
          <w:sz w:val="24"/>
          <w:szCs w:val="24"/>
        </w:rPr>
        <w:t>(Abdel-Daim and Abdeen, 2018)</w:t>
      </w:r>
      <w:r w:rsidRPr="00C80D67">
        <w:rPr>
          <w:rFonts w:asciiTheme="majorBidi" w:hAnsiTheme="majorBidi" w:cstheme="majorBidi"/>
          <w:b/>
          <w:bCs/>
          <w:sz w:val="24"/>
          <w:szCs w:val="24"/>
        </w:rPr>
        <w:fldChar w:fldCharType="end"/>
      </w:r>
      <w:r w:rsidRPr="006755FE">
        <w:rPr>
          <w:rFonts w:asciiTheme="majorBidi" w:hAnsiTheme="majorBidi" w:cstheme="majorBidi"/>
          <w:sz w:val="24"/>
          <w:szCs w:val="24"/>
        </w:rPr>
        <w:t xml:space="preserve">. Since GSH directly scavenging ROS, it is the most significant sovereign antioxidant and is ubiquitous in every cell in the body </w:t>
      </w:r>
      <w:r w:rsidRPr="00C80D67">
        <w:rPr>
          <w:rFonts w:asciiTheme="majorBidi" w:hAnsiTheme="majorBidi" w:cstheme="majorBidi"/>
          <w:b/>
          <w:bCs/>
          <w:sz w:val="24"/>
          <w:szCs w:val="24"/>
        </w:rPr>
        <w:fldChar w:fldCharType="begin" w:fldLock="1"/>
      </w:r>
      <w:r w:rsidR="00F03936" w:rsidRPr="00C80D67">
        <w:rPr>
          <w:rFonts w:asciiTheme="majorBidi" w:hAnsiTheme="majorBidi" w:cstheme="majorBidi"/>
          <w:b/>
          <w:bCs/>
          <w:sz w:val="24"/>
          <w:szCs w:val="24"/>
        </w:rPr>
        <w:instrText>ADDIN CSL_CITATION {"citationItems":[{"id":"ITEM-1","itemData":{"ISSN":"0048-9697","author":[{"dropping-particle":"","family":"Abdel-Daim","given":"Mohamed M","non-dropping-particle":"","parse-names":false,"suffix":""},{"dropping-particle":"","family":"Abdeen","given":"Ahmed","non-dropping-particle":"","parse-names":false,"suffix":""},{"dropping-particle":"","family":"Jalouli","given":"Maroua","non-dropping-particle":"","parse-names":false,"suffix":""},{"dropping-particle":"","family":"Abdelkader","given":"Afaf","non-dropping-particle":"","parse-names":false,"suffix":""},{"dropping-particle":"","family":"Megahed","given":"Ameer","non-dropping-particle":"","parse-names":false,"suffix":""},{"dropping-particle":"","family":"Alkahtane","given":"Abdullah","non-dropping-particle":"","parse-names":false,"suffix":""},{"dropping-particle":"","family":"Almeer","given":"Rafa","non-dropping-particle":"","parse-names":false,"suffix":""},{"dropping-particle":"","family":"Alhoshani","given":"Norah M","non-dropping-particle":"","parse-names":false,"suffix":""},{"dropping-particle":"","family":"Al-Johani","given":"Norah S","non-dropping-particle":"","parse-names":false,"suffix":""},{"dropping-particle":"","family":"Alkahtani","given":"Saad","non-dropping-particle":"","parse-names":false,"suffix":""}],"container-title":"Science of the Total Environment","id":"ITEM-1","issued":{"date-parts":[["2021"]]},"page":"144781","publisher":"Elsevier","title":"Fucoidan supplementation modulates hepato-renal oxidative stress and DNA damage induced by aflatoxin B1 intoxication in rats","type":"article-journal","volume":"768"},"uris":["http://www.mendeley.com/documents/?uuid=13de6c9d-9d3b-4b37-95cb-21daec3f4962"]}],"mendeley":{"formattedCitation":"(Abdel-Daim &lt;i&gt;et al.&lt;/i&gt;, 2021)","plainTextFormattedCitation":"(Abdel-Daim et al., 2021)","previouslyFormattedCitation":"[33]"},"properties":{"noteIndex":0},"schema":"https://github.com/citation-style-language/schema/raw/master/csl-citation.json"}</w:instrText>
      </w:r>
      <w:r w:rsidRPr="00C80D67">
        <w:rPr>
          <w:rFonts w:asciiTheme="majorBidi" w:hAnsiTheme="majorBidi" w:cstheme="majorBidi"/>
          <w:b/>
          <w:bCs/>
          <w:sz w:val="24"/>
          <w:szCs w:val="24"/>
        </w:rPr>
        <w:fldChar w:fldCharType="separate"/>
      </w:r>
      <w:r w:rsidR="00F03936" w:rsidRPr="00C80D67">
        <w:rPr>
          <w:rFonts w:asciiTheme="majorBidi" w:hAnsiTheme="majorBidi" w:cstheme="majorBidi"/>
          <w:b/>
          <w:bCs/>
          <w:noProof/>
          <w:sz w:val="24"/>
          <w:szCs w:val="24"/>
        </w:rPr>
        <w:t xml:space="preserve">(Abdel-Daim </w:t>
      </w:r>
      <w:r w:rsidR="00F03936" w:rsidRPr="00C80D67">
        <w:rPr>
          <w:rFonts w:asciiTheme="majorBidi" w:hAnsiTheme="majorBidi" w:cstheme="majorBidi"/>
          <w:b/>
          <w:bCs/>
          <w:i/>
          <w:noProof/>
          <w:sz w:val="24"/>
          <w:szCs w:val="24"/>
        </w:rPr>
        <w:t>et al.</w:t>
      </w:r>
      <w:r w:rsidR="00F03936" w:rsidRPr="00C80D67">
        <w:rPr>
          <w:rFonts w:asciiTheme="majorBidi" w:hAnsiTheme="majorBidi" w:cstheme="majorBidi"/>
          <w:b/>
          <w:bCs/>
          <w:noProof/>
          <w:sz w:val="24"/>
          <w:szCs w:val="24"/>
        </w:rPr>
        <w:t>, 2021)</w:t>
      </w:r>
      <w:r w:rsidRPr="00C80D67">
        <w:rPr>
          <w:rFonts w:asciiTheme="majorBidi" w:hAnsiTheme="majorBidi" w:cstheme="majorBidi"/>
          <w:b/>
          <w:bCs/>
          <w:sz w:val="24"/>
          <w:szCs w:val="24"/>
        </w:rPr>
        <w:fldChar w:fldCharType="end"/>
      </w:r>
      <w:r w:rsidRPr="006755FE">
        <w:rPr>
          <w:rFonts w:asciiTheme="majorBidi" w:hAnsiTheme="majorBidi" w:cstheme="majorBidi"/>
          <w:sz w:val="24"/>
          <w:szCs w:val="24"/>
        </w:rPr>
        <w:t xml:space="preserve">. Additionally, the endogenous enzyme SOD serves as the first line of defense against oxidative damage in mitochondria, which dismutase conversion of O2 </w:t>
      </w:r>
      <w:r w:rsidRPr="006755FE">
        <w:rPr>
          <w:rFonts w:asciiTheme="majorBidi" w:hAnsiTheme="majorBidi" w:cstheme="majorBidi"/>
          <w:sz w:val="24"/>
          <w:szCs w:val="24"/>
          <w:vertAlign w:val="superscript"/>
        </w:rPr>
        <w:t>•</w:t>
      </w:r>
      <w:r w:rsidRPr="006755FE">
        <w:rPr>
          <w:rFonts w:asciiTheme="majorBidi" w:hAnsiTheme="majorBidi" w:cstheme="majorBidi"/>
          <w:sz w:val="24"/>
          <w:szCs w:val="24"/>
        </w:rPr>
        <w:t xml:space="preserve"> to O2 and H</w:t>
      </w:r>
      <w:r w:rsidRPr="006755FE">
        <w:rPr>
          <w:rFonts w:asciiTheme="majorBidi" w:hAnsiTheme="majorBidi" w:cstheme="majorBidi"/>
          <w:sz w:val="24"/>
          <w:szCs w:val="24"/>
          <w:vertAlign w:val="subscript"/>
        </w:rPr>
        <w:t>2</w:t>
      </w:r>
      <w:r w:rsidRPr="006755FE">
        <w:rPr>
          <w:rFonts w:asciiTheme="majorBidi" w:hAnsiTheme="majorBidi" w:cstheme="majorBidi"/>
          <w:sz w:val="24"/>
          <w:szCs w:val="24"/>
        </w:rPr>
        <w:t>O</w:t>
      </w:r>
      <w:r w:rsidRPr="006755FE">
        <w:rPr>
          <w:rFonts w:asciiTheme="majorBidi" w:hAnsiTheme="majorBidi" w:cstheme="majorBidi"/>
          <w:sz w:val="24"/>
          <w:szCs w:val="24"/>
          <w:vertAlign w:val="subscript"/>
        </w:rPr>
        <w:t>2</w:t>
      </w:r>
      <w:r w:rsidRPr="006755FE">
        <w:rPr>
          <w:rFonts w:asciiTheme="majorBidi" w:hAnsiTheme="majorBidi" w:cstheme="majorBidi"/>
          <w:sz w:val="24"/>
          <w:szCs w:val="24"/>
        </w:rPr>
        <w:t xml:space="preserve">, therefore squelching oxidative damage </w:t>
      </w:r>
      <w:r w:rsidRPr="00C80D67">
        <w:rPr>
          <w:rFonts w:asciiTheme="majorBidi" w:hAnsiTheme="majorBidi" w:cstheme="majorBidi"/>
          <w:b/>
          <w:bCs/>
          <w:sz w:val="24"/>
          <w:szCs w:val="24"/>
        </w:rPr>
        <w:fldChar w:fldCharType="begin" w:fldLock="1"/>
      </w:r>
      <w:r w:rsidR="00C80D67">
        <w:rPr>
          <w:rFonts w:asciiTheme="majorBidi" w:hAnsiTheme="majorBidi" w:cstheme="majorBidi"/>
          <w:b/>
          <w:bCs/>
          <w:sz w:val="24"/>
          <w:szCs w:val="24"/>
        </w:rPr>
        <w:instrText>ADDIN CSL_CITATION {"citationItems":[{"id":"ITEM-1","itemData":{"DOI":"10.1016/j.biopha.2018.11.004","ISSN":"19506007","abstract":"Piroxicam (Px) is a non-steroidal anti-inflammatory drug that is widely prescribed in various inflammatory disorders. However, Px is known to induce gastric ulceration and hepato-renal toxicity. Rosuvastatin (ROSV), a member of the statin family, has anti-inflammatory and antioxidant actions independent of its anti-hyperlipidemic action. Therefore, we investigated the protective effects of ROSV against Px-induced gastric, liver, and kidney injury. Five groups of seven rats each were used; control group, ROSV group (20 mg/kg, given orally), Px group (7 mg/kg, given intraperitoneally), Px+ROSV L (7 and 10 mg/kg, respectively), and Px+ROSV H (7 and 20 mg/kg, respectively) group. The results revealed that Px induced severe gastric mucosal damage expressed by high ulcer index along with significant increases in liver and kidney function parameters including AST, ALT, creatinine, and urea. Disrupted lipid metabolism also was observed in Px-treated animals. Moreover, marked an increase in malondialdehyde (MDA) and decreases in glutathione (GSH) and catalase (CAT) levels along with enhanced activated caspase-3 expression in the gastric, hepatic, and renal tissues following Px-insult suggested a possible involvement of lipid peroxidation in Px-induced gastropathy and hepatorenal toxicity. However, in a dose-dependent manner, ROSV was able to mitigate Px-induced lipid peroxidation and apoptosis in gastric, liver, and kidney tissues.","author":[{"dropping-particle":"","family":"Abdeen","given":"Ahmed","non-dropping-particle":"","parse-names":false,"suffix":""},{"dropping-particle":"","family":"Aboubakr","given":"Mohamed","non-dropping-particle":"","parse-names":false,"suffix":""},{"dropping-particle":"","family":"Elgazzar","given":"Dina","non-dropping-particle":"","parse-names":false,"suffix":""},{"dropping-particle":"","family":"Abdo","given":"Mohamed","non-dropping-particle":"","parse-names":false,"suffix":""},{"dropping-particle":"","family":"Abdelkader","given":"Afaf","non-dropping-particle":"","parse-names":false,"suffix":""},{"dropping-particle":"","family":"Ibrahim","given":"Samar","non-dropping-particle":"","parse-names":false,"suffix":""},{"dropping-particle":"","family":"Elkomy","given":"Ashraf","non-dropping-particle":"","parse-names":false,"suffix":""}],"container-title":"Biomedicine and Pharmacotherapy","id":"ITEM-1","issue":"November 2018","issued":{"date-parts":[["2019"]]},"page":"895-905","publisher":"Elsevier","title":"Rosuvastatin attenuates piroxicam-mediated gastric ulceration and hepato-renal toxicity in rats","type":"article-journal","volume":"110"},"uris":["http://www.mendeley.com/documents/?uuid=c05190dc-0644-4c0c-8a15-3bb444f45739"]}],"mendeley":{"formattedCitation":"(Abdeen, Aboubakr, &lt;i&gt;et al.&lt;/i&gt;, 2019)","manualFormatting":"(Abdeen et al., 2019b)","plainTextFormattedCitation":"(Abdeen, Aboubakr, et al., 2019)","previouslyFormattedCitation":"[34]"},"properties":{"noteIndex":0},"schema":"https://github.com/citation-style-language/schema/raw/master/csl-citation.json"}</w:instrText>
      </w:r>
      <w:r w:rsidRPr="00C80D67">
        <w:rPr>
          <w:rFonts w:asciiTheme="majorBidi" w:hAnsiTheme="majorBidi" w:cstheme="majorBidi"/>
          <w:b/>
          <w:bCs/>
          <w:sz w:val="24"/>
          <w:szCs w:val="24"/>
        </w:rPr>
        <w:fldChar w:fldCharType="separate"/>
      </w:r>
      <w:r w:rsidR="00F03936" w:rsidRPr="00C80D67">
        <w:rPr>
          <w:rFonts w:asciiTheme="majorBidi" w:hAnsiTheme="majorBidi" w:cstheme="majorBidi"/>
          <w:b/>
          <w:bCs/>
          <w:noProof/>
          <w:sz w:val="24"/>
          <w:szCs w:val="24"/>
        </w:rPr>
        <w:t>(</w:t>
      </w:r>
      <w:r w:rsidR="00C80D67" w:rsidRPr="00C80D67">
        <w:rPr>
          <w:rFonts w:asciiTheme="majorBidi" w:hAnsiTheme="majorBidi" w:cstheme="majorBidi"/>
          <w:b/>
          <w:bCs/>
          <w:noProof/>
          <w:sz w:val="24"/>
          <w:szCs w:val="24"/>
        </w:rPr>
        <w:t xml:space="preserve">Abdeen </w:t>
      </w:r>
      <w:r w:rsidR="00C80D67" w:rsidRPr="00756FFE">
        <w:rPr>
          <w:rFonts w:asciiTheme="majorBidi" w:hAnsiTheme="majorBidi" w:cstheme="majorBidi"/>
          <w:b/>
          <w:bCs/>
          <w:i/>
          <w:iCs/>
          <w:noProof/>
          <w:sz w:val="24"/>
          <w:szCs w:val="24"/>
        </w:rPr>
        <w:t>et al</w:t>
      </w:r>
      <w:r w:rsidR="00C80D67" w:rsidRPr="00C80D67">
        <w:rPr>
          <w:rFonts w:asciiTheme="majorBidi" w:hAnsiTheme="majorBidi" w:cstheme="majorBidi"/>
          <w:b/>
          <w:bCs/>
          <w:noProof/>
          <w:sz w:val="24"/>
          <w:szCs w:val="24"/>
        </w:rPr>
        <w:t>., 2019b</w:t>
      </w:r>
      <w:r w:rsidR="00F03936" w:rsidRPr="00C80D67">
        <w:rPr>
          <w:rFonts w:asciiTheme="majorBidi" w:hAnsiTheme="majorBidi" w:cstheme="majorBidi"/>
          <w:b/>
          <w:bCs/>
          <w:noProof/>
          <w:sz w:val="24"/>
          <w:szCs w:val="24"/>
        </w:rPr>
        <w:t>)</w:t>
      </w:r>
      <w:r w:rsidRPr="00C80D67">
        <w:rPr>
          <w:rFonts w:asciiTheme="majorBidi" w:hAnsiTheme="majorBidi" w:cstheme="majorBidi"/>
          <w:b/>
          <w:bCs/>
          <w:sz w:val="24"/>
          <w:szCs w:val="24"/>
        </w:rPr>
        <w:fldChar w:fldCharType="end"/>
      </w:r>
      <w:r w:rsidRPr="006755FE">
        <w:rPr>
          <w:rFonts w:asciiTheme="majorBidi" w:hAnsiTheme="majorBidi" w:cstheme="majorBidi"/>
          <w:sz w:val="24"/>
          <w:szCs w:val="24"/>
        </w:rPr>
        <w:t>. The findings here demonstrated that oxidative stress played a crucial role in the hepatic damage caused by FU and Cd. This was demonstrated by the drop in CAT, GSH, and SOD content levels in rats subjected to FU and/or Cd but when concurrently administered together, higher significant hepatic oxidative damage occurred compared to other groups.</w:t>
      </w:r>
    </w:p>
    <w:p w14:paraId="7D48F20B" w14:textId="075453A9" w:rsidR="006755FE" w:rsidRPr="000C214B" w:rsidRDefault="006755FE" w:rsidP="00AC18E4">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Alarmingly, MDA is a byproduct of lipid peroxidation, which can create unpredictable bonds with other compounds such as DNA and protein</w:t>
      </w:r>
      <w:r w:rsidRPr="006755FE">
        <w:rPr>
          <w:rFonts w:asciiTheme="majorBidi" w:hAnsiTheme="majorBidi" w:cstheme="majorBidi"/>
          <w:b/>
          <w:bCs/>
          <w:sz w:val="24"/>
          <w:szCs w:val="24"/>
        </w:rPr>
        <w:t xml:space="preserve"> </w:t>
      </w:r>
      <w:r w:rsidRPr="00C80D67">
        <w:rPr>
          <w:rFonts w:asciiTheme="majorBidi" w:hAnsiTheme="majorBidi" w:cstheme="majorBidi"/>
          <w:b/>
          <w:bCs/>
          <w:sz w:val="24"/>
          <w:szCs w:val="24"/>
        </w:rPr>
        <w:fldChar w:fldCharType="begin" w:fldLock="1"/>
      </w:r>
      <w:r w:rsidR="00F03936" w:rsidRPr="00C80D67">
        <w:rPr>
          <w:rFonts w:asciiTheme="majorBidi" w:hAnsiTheme="majorBidi" w:cstheme="majorBidi"/>
          <w:b/>
          <w:bCs/>
          <w:sz w:val="24"/>
          <w:szCs w:val="24"/>
        </w:rPr>
        <w:instrText>ADDIN CSL_CITATION {"citationItems":[{"id":"ITEM-1","itemData":{"ISSN":"2076-3921","author":[{"dropping-particle":"","family":"Uddin","given":"Md Jamal","non-dropping-particle":"","parse-names":false,"suffix":""},{"dropping-particle":"","family":"Kim","given":"Ee Hyun","non-dropping-particle":"","parse-names":false,"suffix":""},{"dropping-particle":"","family":"Hannan","given":"Md Abdul","non-dropping-particle":"","parse-names":false,"suffix":""},{"dropping-particle":"","family":"Ha","given":"Hunjoo","non-dropping-particle":"","parse-names":false,"suffix":""}],"container-title":"Antioxidants","id":"ITEM-1","issue":"2","issued":{"date-parts":[["2021"]]},"page":"258","publisher":"MDPI","title":"Pharmacotherapy against oxidative stress in chronic kidney disease: Promising small molecule natural products targeting nrf2-ho-1 signaling","type":"article-journal","volume":"10"},"uris":["http://www.mendeley.com/documents/?uuid=220518bc-8f8f-4e8e-8769-6f3e8668d2e9"]}],"mendeley":{"formattedCitation":"(Uddin &lt;i&gt;et al.&lt;/i&gt;, 2021)","plainTextFormattedCitation":"(Uddin et al., 2021)","previouslyFormattedCitation":"[35]"},"properties":{"noteIndex":0},"schema":"https://github.com/citation-style-language/schema/raw/master/csl-citation.json"}</w:instrText>
      </w:r>
      <w:r w:rsidRPr="00C80D67">
        <w:rPr>
          <w:rFonts w:asciiTheme="majorBidi" w:hAnsiTheme="majorBidi" w:cstheme="majorBidi"/>
          <w:b/>
          <w:bCs/>
          <w:sz w:val="24"/>
          <w:szCs w:val="24"/>
        </w:rPr>
        <w:fldChar w:fldCharType="separate"/>
      </w:r>
      <w:r w:rsidR="00F03936" w:rsidRPr="00C80D67">
        <w:rPr>
          <w:rFonts w:asciiTheme="majorBidi" w:hAnsiTheme="majorBidi" w:cstheme="majorBidi"/>
          <w:b/>
          <w:bCs/>
          <w:noProof/>
          <w:sz w:val="24"/>
          <w:szCs w:val="24"/>
        </w:rPr>
        <w:t xml:space="preserve">(Uddin </w:t>
      </w:r>
      <w:r w:rsidR="00F03936" w:rsidRPr="00C80D67">
        <w:rPr>
          <w:rFonts w:asciiTheme="majorBidi" w:hAnsiTheme="majorBidi" w:cstheme="majorBidi"/>
          <w:b/>
          <w:bCs/>
          <w:i/>
          <w:noProof/>
          <w:sz w:val="24"/>
          <w:szCs w:val="24"/>
        </w:rPr>
        <w:t>et al.</w:t>
      </w:r>
      <w:r w:rsidR="00F03936" w:rsidRPr="00C80D67">
        <w:rPr>
          <w:rFonts w:asciiTheme="majorBidi" w:hAnsiTheme="majorBidi" w:cstheme="majorBidi"/>
          <w:b/>
          <w:bCs/>
          <w:noProof/>
          <w:sz w:val="24"/>
          <w:szCs w:val="24"/>
        </w:rPr>
        <w:t>, 2021)</w:t>
      </w:r>
      <w:r w:rsidRPr="00C80D67">
        <w:rPr>
          <w:rFonts w:asciiTheme="majorBidi" w:hAnsiTheme="majorBidi" w:cstheme="majorBidi"/>
          <w:b/>
          <w:bCs/>
          <w:sz w:val="24"/>
          <w:szCs w:val="24"/>
        </w:rPr>
        <w:fldChar w:fldCharType="end"/>
      </w:r>
      <w:r w:rsidRPr="006755FE">
        <w:rPr>
          <w:rFonts w:asciiTheme="majorBidi" w:hAnsiTheme="majorBidi" w:cstheme="majorBidi"/>
          <w:sz w:val="24"/>
          <w:szCs w:val="24"/>
        </w:rPr>
        <w:t xml:space="preserve">. Similar to this claim, the results of the current investigation's results demonstrated a significant increase in MDA concentrations, indicating that FU and/or Cd-induced lipid peroxidation had damaged the liver cell's membrane and caused leakage of the efficient intracellular enzymes (AST, ALT, and ALP), which signify liver dysfunction, into the bloodstream </w:t>
      </w:r>
      <w:r w:rsidRPr="00C80D67">
        <w:rPr>
          <w:rFonts w:asciiTheme="majorBidi" w:hAnsiTheme="majorBidi" w:cstheme="majorBidi"/>
          <w:b/>
          <w:bCs/>
          <w:sz w:val="24"/>
          <w:szCs w:val="24"/>
        </w:rPr>
        <w:fldChar w:fldCharType="begin" w:fldLock="1"/>
      </w:r>
      <w:r w:rsidR="00F03936" w:rsidRPr="00C80D67">
        <w:rPr>
          <w:rFonts w:asciiTheme="majorBidi" w:hAnsiTheme="majorBidi" w:cstheme="majorBidi"/>
          <w:b/>
          <w:bCs/>
          <w:sz w:val="24"/>
          <w:szCs w:val="24"/>
        </w:rPr>
        <w:instrText>ADDIN CSL_CITATION {"citationItems":[{"id":"ITEM-1","itemData":{"DOI":"10.1016/j.jobaz.2016.12.004","ISSN":"20909896","author":[{"dropping-particle":"","family":"Ibraheem","given":"Ahmed S.","non-dropping-particle":"","parse-names":false,"suffix":""},{"dropping-particle":"","family":"Seleem","given":"Amin A.","non-dropping-particle":"","parse-names":false,"suffix":""},{"dropping-particle":"","family":"El-Sayed","given":"Mohamed F.","non-dropping-particle":"","parse-names":false,"suffix":""},{"dropping-particle":"","family":"Hamad","given":"Basma H.","non-dropping-particle":"","parse-names":false,"suffix":""}],"container-title":"The Journal of Basic &amp; Applied Zoology","id":"ITEM-1","issue":"2016","issued":{"date-parts":[["2016"]]},"page":"91-101","publisher":"The Egyptian German Society for Zoology","title":"Single or combined cadmium and aluminum intoxication of mice liver and kidney with possible effect of zinc","type":"article-journal","volume":"77"},"uris":["http://www.mendeley.com/documents/?uuid=e78fab15-4691-4109-b578-8f5bcd3f6fe7","http://www.mendeley.com/documents/?uuid=951131e5-d04e-4859-a97d-0f6e4e506771"]}],"mendeley":{"formattedCitation":"(Ibraheem &lt;i&gt;et al.&lt;/i&gt;, 2016)","plainTextFormattedCitation":"(Ibraheem et al., 2016)","previouslyFormattedCitation":"[36]"},"properties":{"noteIndex":0},"schema":"https://github.com/citation-style-language/schema/raw/master/csl-citation.json"}</w:instrText>
      </w:r>
      <w:r w:rsidRPr="00C80D67">
        <w:rPr>
          <w:rFonts w:asciiTheme="majorBidi" w:hAnsiTheme="majorBidi" w:cstheme="majorBidi"/>
          <w:b/>
          <w:bCs/>
          <w:sz w:val="24"/>
          <w:szCs w:val="24"/>
        </w:rPr>
        <w:fldChar w:fldCharType="separate"/>
      </w:r>
      <w:r w:rsidR="00F03936" w:rsidRPr="00C80D67">
        <w:rPr>
          <w:rFonts w:asciiTheme="majorBidi" w:hAnsiTheme="majorBidi" w:cstheme="majorBidi"/>
          <w:b/>
          <w:bCs/>
          <w:noProof/>
          <w:sz w:val="24"/>
          <w:szCs w:val="24"/>
        </w:rPr>
        <w:t xml:space="preserve">(Ibraheem </w:t>
      </w:r>
      <w:r w:rsidR="00F03936" w:rsidRPr="00C80D67">
        <w:rPr>
          <w:rFonts w:asciiTheme="majorBidi" w:hAnsiTheme="majorBidi" w:cstheme="majorBidi"/>
          <w:b/>
          <w:bCs/>
          <w:i/>
          <w:noProof/>
          <w:sz w:val="24"/>
          <w:szCs w:val="24"/>
        </w:rPr>
        <w:t>et al.</w:t>
      </w:r>
      <w:r w:rsidR="00F03936" w:rsidRPr="00C80D67">
        <w:rPr>
          <w:rFonts w:asciiTheme="majorBidi" w:hAnsiTheme="majorBidi" w:cstheme="majorBidi"/>
          <w:b/>
          <w:bCs/>
          <w:noProof/>
          <w:sz w:val="24"/>
          <w:szCs w:val="24"/>
        </w:rPr>
        <w:t>, 2016)</w:t>
      </w:r>
      <w:r w:rsidRPr="00C80D67">
        <w:rPr>
          <w:rFonts w:asciiTheme="majorBidi" w:hAnsiTheme="majorBidi" w:cstheme="majorBidi"/>
          <w:b/>
          <w:bCs/>
          <w:sz w:val="24"/>
          <w:szCs w:val="24"/>
        </w:rPr>
        <w:fldChar w:fldCharType="end"/>
      </w:r>
      <w:r w:rsidRPr="006755FE">
        <w:rPr>
          <w:rFonts w:asciiTheme="majorBidi" w:hAnsiTheme="majorBidi" w:cstheme="majorBidi"/>
          <w:sz w:val="24"/>
          <w:szCs w:val="24"/>
        </w:rPr>
        <w:t>. The transaminases (AST and ALT) are utilized as a</w:t>
      </w:r>
      <w:r w:rsidR="00AC18E4">
        <w:rPr>
          <w:rFonts w:asciiTheme="majorBidi" w:hAnsiTheme="majorBidi" w:cstheme="majorBidi"/>
          <w:sz w:val="24"/>
          <w:szCs w:val="24"/>
        </w:rPr>
        <w:t>n indicator</w:t>
      </w:r>
      <w:r w:rsidRPr="006755FE">
        <w:rPr>
          <w:rFonts w:asciiTheme="majorBidi" w:hAnsiTheme="majorBidi" w:cstheme="majorBidi"/>
          <w:sz w:val="24"/>
          <w:szCs w:val="24"/>
        </w:rPr>
        <w:t xml:space="preserve"> of liver damage, with ALT being regarded as the gold standard which confirms liver dysfunction </w:t>
      </w:r>
      <w:r w:rsidRPr="00C80D67">
        <w:rPr>
          <w:rFonts w:asciiTheme="majorBidi" w:hAnsiTheme="majorBidi" w:cstheme="majorBidi"/>
          <w:b/>
          <w:bCs/>
          <w:i/>
          <w:iCs/>
          <w:sz w:val="24"/>
          <w:szCs w:val="24"/>
        </w:rPr>
        <w:fldChar w:fldCharType="begin" w:fldLock="1"/>
      </w:r>
      <w:r w:rsidR="00F03936" w:rsidRPr="00C80D67">
        <w:rPr>
          <w:rFonts w:asciiTheme="majorBidi" w:hAnsiTheme="majorBidi" w:cstheme="majorBidi"/>
          <w:b/>
          <w:bCs/>
          <w:i/>
          <w:iCs/>
          <w:sz w:val="24"/>
          <w:szCs w:val="24"/>
        </w:rPr>
        <w:instrText>ADDIN CSL_CITATION {"citationItems":[{"id":"ITEM-1","itemData":{"DOI":"10.17179/excli2016-800","ISSN":"1611-2156 (Print)","PMID":"28337112","abstract":"Laboratory testing is important in the diagnosis and monitoring of liver injury and  disease. Current liver tests include plasma markers of injury (e.g. aminotransferases, γ-glutamyl transferase, and alkaline phosphatase), markers of function (e.g. prothrombin time, bilirubin), viral hepatitis serologies, and markers of proliferation (e.g. α-fetoprotein). Among the injury markers, the alanine and aspartate aminotransferases (ALT and AST, respectively) are the most commonly used. However, interpretation of ALT and AST plasma levels can be complicated. Furthermore, both have poor prognostic utility in acute liver injury and liver failure. New biomarkers of liver injury are rapidly being developed, and the US Food and Drug Administration the European Medicines Agency have recently expressed support for use of some of these biomarkers in drug trials. The purpose of this paper is to review the history of liver biomarkers, to summarize mechanisms and interpretation of ALT and AST elevation in plasma in liver injury (particularly acute liver injury), and to discuss emerging liver injury biomarkers that may complement or even replace ALT and AST in the future.","author":[{"dropping-particle":"","family":"McGill","given":"Mitchell R","non-dropping-particle":"","parse-names":false,"suffix":""}],"container-title":"EXCLI journal","id":"ITEM-1","issued":{"date-parts":[["2016"]]},"language":"eng","page":"817-828","title":"The past and present of serum aminotransferases and the future of liver injury  biomarkers.","type":"article-journal","volume":"15"},"uris":["http://www.mendeley.com/documents/?uuid=54cef8a0-298a-4a07-9738-468e7581b8fe","http://www.mendeley.com/documents/?uuid=348672ee-592d-4670-bd7b-59ee8bed2db7"]}],"mendeley":{"formattedCitation":"(McGill, 2016)","plainTextFormattedCitation":"(McGill, 2016)","previouslyFormattedCitation":"[37]"},"properties":{"noteIndex":0},"schema":"https://github.com/citation-style-language/schema/raw/master/csl-citation.json"}</w:instrText>
      </w:r>
      <w:r w:rsidRPr="00C80D67">
        <w:rPr>
          <w:rFonts w:asciiTheme="majorBidi" w:hAnsiTheme="majorBidi" w:cstheme="majorBidi"/>
          <w:b/>
          <w:bCs/>
          <w:i/>
          <w:iCs/>
          <w:sz w:val="24"/>
          <w:szCs w:val="24"/>
        </w:rPr>
        <w:fldChar w:fldCharType="separate"/>
      </w:r>
      <w:r w:rsidR="00F03936" w:rsidRPr="00C80D67">
        <w:rPr>
          <w:rFonts w:asciiTheme="majorBidi" w:hAnsiTheme="majorBidi" w:cstheme="majorBidi"/>
          <w:b/>
          <w:bCs/>
          <w:iCs/>
          <w:noProof/>
          <w:sz w:val="24"/>
          <w:szCs w:val="24"/>
        </w:rPr>
        <w:t>(McGill, 2016)</w:t>
      </w:r>
      <w:r w:rsidRPr="00C80D67">
        <w:rPr>
          <w:rFonts w:asciiTheme="majorBidi" w:hAnsiTheme="majorBidi" w:cstheme="majorBidi"/>
          <w:b/>
          <w:bCs/>
          <w:i/>
          <w:iCs/>
          <w:sz w:val="24"/>
          <w:szCs w:val="24"/>
        </w:rPr>
        <w:fldChar w:fldCharType="end"/>
      </w:r>
      <w:r w:rsidRPr="00C80D67">
        <w:rPr>
          <w:rFonts w:asciiTheme="majorBidi" w:hAnsiTheme="majorBidi" w:cstheme="majorBidi"/>
          <w:b/>
          <w:bCs/>
          <w:sz w:val="24"/>
          <w:szCs w:val="24"/>
        </w:rPr>
        <w:t>.</w:t>
      </w:r>
      <w:r w:rsidRPr="006755FE">
        <w:rPr>
          <w:rFonts w:asciiTheme="majorBidi" w:hAnsiTheme="majorBidi" w:cstheme="majorBidi"/>
          <w:sz w:val="24"/>
          <w:szCs w:val="24"/>
        </w:rPr>
        <w:t xml:space="preserve"> Moreover, we noticed disturbed lipid metabolism as evidenced by higher triglyceride and cholesterol levels in the blood suggesting that there was liver damage after FU and/or Cd treatment as demonstrated by microvascular steatosis in hepatocytes shown in our histological finding </w:t>
      </w:r>
      <w:r w:rsidR="00AC18E4">
        <w:rPr>
          <w:rFonts w:asciiTheme="majorBidi" w:hAnsiTheme="majorBidi" w:cstheme="majorBidi"/>
          <w:sz w:val="24"/>
          <w:szCs w:val="24"/>
        </w:rPr>
        <w:t xml:space="preserve">of </w:t>
      </w:r>
      <w:r w:rsidRPr="006755FE">
        <w:rPr>
          <w:rFonts w:asciiTheme="majorBidi" w:hAnsiTheme="majorBidi" w:cstheme="majorBidi"/>
          <w:sz w:val="24"/>
          <w:szCs w:val="24"/>
        </w:rPr>
        <w:t>the liver. The outcomes of this investigation align with previous studies which found that FU induce</w:t>
      </w:r>
      <w:r w:rsidR="00AC18E4">
        <w:rPr>
          <w:rFonts w:asciiTheme="majorBidi" w:hAnsiTheme="majorBidi" w:cstheme="majorBidi"/>
          <w:sz w:val="24"/>
          <w:szCs w:val="24"/>
        </w:rPr>
        <w:t>s</w:t>
      </w:r>
      <w:r w:rsidRPr="006755FE">
        <w:rPr>
          <w:rFonts w:asciiTheme="majorBidi" w:hAnsiTheme="majorBidi" w:cstheme="majorBidi"/>
          <w:sz w:val="24"/>
          <w:szCs w:val="24"/>
        </w:rPr>
        <w:t xml:space="preserve"> hepatotoxic damage in liver tissue</w:t>
      </w:r>
      <w:r w:rsidR="00000709">
        <w:rPr>
          <w:rFonts w:asciiTheme="majorBidi" w:hAnsiTheme="majorBidi" w:cstheme="majorBidi"/>
          <w:sz w:val="24"/>
          <w:szCs w:val="24"/>
        </w:rPr>
        <w:t xml:space="preserve"> </w:t>
      </w:r>
      <w:r w:rsidR="00F108F2" w:rsidRPr="00C80D67">
        <w:rPr>
          <w:rFonts w:asciiTheme="majorBidi" w:hAnsiTheme="majorBidi" w:cstheme="majorBidi"/>
          <w:b/>
          <w:bCs/>
          <w:sz w:val="24"/>
          <w:szCs w:val="24"/>
        </w:rPr>
        <w:fldChar w:fldCharType="begin" w:fldLock="1"/>
      </w:r>
      <w:r w:rsidR="00C80D67" w:rsidRPr="00C80D67">
        <w:rPr>
          <w:rFonts w:asciiTheme="majorBidi" w:hAnsiTheme="majorBidi" w:cstheme="majorBidi"/>
          <w:b/>
          <w:bCs/>
          <w:sz w:val="24"/>
          <w:szCs w:val="24"/>
        </w:rPr>
        <w:instrText>ADDIN CSL_CITATION {"citationItems":[{"id":"ITEM-1","itemData":{"author":[{"dropping-particle":"","family":"Kaya","given":"Emre","non-dropping-particle":"","parse-names":false,"suffix":""},{"dropping-particle":"","family":"Yılmaz","given":"Seval","non-dropping-particle":"","parse-names":false,"suffix":""},{"dropping-particle":"","family":"Ceribasi","given":"Songul","non-dropping-particle":"","parse-names":false,"suffix":""}],"container-title":"Journal of Veterinary Research","id":"ITEM-1","issue":"3","issued":{"date-parts":[["2019"]]},"page":"423","publisher":"De Gruyter","title":"Protective role of propolis on low and high dose furan-induced hepatotoxicity and oxidative stress in rats","type":"article-journal","volume":"63"},"uris":["http://www.mendeley.com/documents/?uuid=a4dcb7d2-6503-435b-87ca-8e6d2f25f922"]},{"id":"ITEM-2","itemData":{"DOI":"10.1186/s40360-022-00615-0","ISSN":"20506511","PMID":"36180958","abstract":"Inadvertent exposure to furan and Pb is associated with hepatorenal abnormalities in humans and animals. It is perceived that these two chemical species may work in synergy to orchestrate liver and kidney damage. Against this background, we investigated the combined effect of furan and incremental lead (Pb) exposure on hepatorenal dysfunction. Wistar rats (n = 30; 150 g) were treated for 28 days accordingly: Control; FUR (8 mg/kg), PbAc (100 µg/L), FUR + PbAc1 (8 mg/kg FUR + 1 µg/L PbAc); FUR + PbAc1 (8 mg/kg FUR + 10 µg/L PbAc), and FUR + PbAc1 (8 mg/kg FUR + 100 µg/L PbAc). Biomarkers of hepatorenal function, oxidative stress, inflammation, DNA damage, and apoptosis were examined. Furan and incrementally Pb exposure increased the levels of hepatorenal biomarkers and oxidative and pro-inflammatory mediators, including lipid peroxidation, reactive oxygen and nitrogen species, and interleukin-1 beta. Increased DNA damage, caspases- 9 and -3, and atypical histoarchitecture of the hepatorenal tissues exemplified furan and Pb treatment-related perturbations. Furthermore, the levels of antioxidants and IL-10 were also suppressed. Furan and Pb dose-dependently exacerbated hepatorenal derangements by altering the redox and inflammatory rheostats, worsened DNA damage, and related apoptotic onset that may potentiate hepatorenal disorders in humans and animals. The findings validate the synergistic effect of furan and Pb in the pathophysiology of kidney and liver disorders.","author":[{"dropping-particle":"","family":"Owumi","given":"Solomon E.","non-dropping-particle":"","parse-names":false,"suffix":""},{"dropping-particle":"","family":"Arunsi","given":"Uche O.","non-dropping-particle":"","parse-names":false,"suffix":""},{"dropping-particle":"","family":"Oyewumi","given":"Omolola M.","non-dropping-particle":"","parse-names":false,"suffix":""},{"dropping-particle":"","family":"Altayyar","given":"Ahmad","non-dropping-particle":"","parse-names":false,"suffix":""}],"container-title":"BMC Pharmacology and Toxicology","id":"ITEM-2","issue":"1","issued":{"date-parts":[["2022"]]},"page":"1-17","publisher":"BioMed Central","title":"Accidental lead in contaminated pipe-borne water and dietary furan intake perturbs rats’ hepatorenal function altering oxidative, inflammatory, and apoptotic balance","type":"article-journal","volume":"23"},"uris":["http://www.mendeley.com/documents/?uuid=0017cc2a-720f-4366-a8ce-9b982d83aebb"]}],"mendeley":{"formattedCitation":"(Kaya, Yılmaz and Ceribasi, 2019a; Owumi, Arunsi, &lt;i&gt;et al.&lt;/i&gt;, 2022)","manualFormatting":"(Kaya et al., 2019a; Owumi et al., 2022a)","plainTextFormattedCitation":"(Kaya, Yılmaz and Ceribasi, 2019a; Owumi, Arunsi, et al., 2022)","previouslyFormattedCitation":"[3,38]"},"properties":{"noteIndex":0},"schema":"https://github.com/citation-style-language/schema/raw/master/csl-citation.json"}</w:instrText>
      </w:r>
      <w:r w:rsidR="00F108F2" w:rsidRPr="00C80D67">
        <w:rPr>
          <w:rFonts w:asciiTheme="majorBidi" w:hAnsiTheme="majorBidi" w:cstheme="majorBidi"/>
          <w:b/>
          <w:bCs/>
          <w:sz w:val="24"/>
          <w:szCs w:val="24"/>
        </w:rPr>
        <w:fldChar w:fldCharType="separate"/>
      </w:r>
      <w:r w:rsidR="00F03936" w:rsidRPr="00C80D67">
        <w:rPr>
          <w:rFonts w:asciiTheme="majorBidi" w:hAnsiTheme="majorBidi" w:cstheme="majorBidi"/>
          <w:b/>
          <w:bCs/>
          <w:noProof/>
          <w:sz w:val="24"/>
          <w:szCs w:val="24"/>
        </w:rPr>
        <w:t>(</w:t>
      </w:r>
      <w:r w:rsidR="00C80D67" w:rsidRPr="00C80D67">
        <w:rPr>
          <w:rFonts w:asciiTheme="majorBidi" w:hAnsiTheme="majorBidi" w:cstheme="majorBidi"/>
          <w:b/>
          <w:bCs/>
          <w:noProof/>
          <w:sz w:val="24"/>
          <w:szCs w:val="24"/>
        </w:rPr>
        <w:t xml:space="preserve">Kaya </w:t>
      </w:r>
      <w:r w:rsidR="00C80D67" w:rsidRPr="00756FFE">
        <w:rPr>
          <w:rFonts w:asciiTheme="majorBidi" w:hAnsiTheme="majorBidi" w:cstheme="majorBidi"/>
          <w:b/>
          <w:bCs/>
          <w:i/>
          <w:iCs/>
          <w:noProof/>
          <w:sz w:val="24"/>
          <w:szCs w:val="24"/>
        </w:rPr>
        <w:t>et al</w:t>
      </w:r>
      <w:r w:rsidR="00C80D67" w:rsidRPr="00C80D67">
        <w:rPr>
          <w:rFonts w:asciiTheme="majorBidi" w:hAnsiTheme="majorBidi" w:cstheme="majorBidi"/>
          <w:b/>
          <w:bCs/>
          <w:noProof/>
          <w:sz w:val="24"/>
          <w:szCs w:val="24"/>
        </w:rPr>
        <w:t>., 2019a</w:t>
      </w:r>
      <w:r w:rsidR="00F03936" w:rsidRPr="00C80D67">
        <w:rPr>
          <w:rFonts w:asciiTheme="majorBidi" w:hAnsiTheme="majorBidi" w:cstheme="majorBidi"/>
          <w:b/>
          <w:bCs/>
          <w:noProof/>
          <w:sz w:val="24"/>
          <w:szCs w:val="24"/>
        </w:rPr>
        <w:t xml:space="preserve">; </w:t>
      </w:r>
      <w:r w:rsidR="00C80D67" w:rsidRPr="00C80D67">
        <w:rPr>
          <w:rFonts w:asciiTheme="majorBidi" w:hAnsiTheme="majorBidi" w:cstheme="majorBidi"/>
          <w:b/>
          <w:bCs/>
          <w:noProof/>
          <w:sz w:val="24"/>
          <w:szCs w:val="24"/>
        </w:rPr>
        <w:t xml:space="preserve">Owumi </w:t>
      </w:r>
      <w:r w:rsidR="00C80D67" w:rsidRPr="00756FFE">
        <w:rPr>
          <w:rFonts w:asciiTheme="majorBidi" w:hAnsiTheme="majorBidi" w:cstheme="majorBidi"/>
          <w:b/>
          <w:bCs/>
          <w:i/>
          <w:iCs/>
          <w:noProof/>
          <w:sz w:val="24"/>
          <w:szCs w:val="24"/>
        </w:rPr>
        <w:t>et al</w:t>
      </w:r>
      <w:r w:rsidR="00C80D67" w:rsidRPr="00C80D67">
        <w:rPr>
          <w:rFonts w:asciiTheme="majorBidi" w:hAnsiTheme="majorBidi" w:cstheme="majorBidi"/>
          <w:b/>
          <w:bCs/>
          <w:noProof/>
          <w:sz w:val="24"/>
          <w:szCs w:val="24"/>
        </w:rPr>
        <w:t>., 2022a</w:t>
      </w:r>
      <w:r w:rsidR="00F03936" w:rsidRPr="00C80D67">
        <w:rPr>
          <w:rFonts w:asciiTheme="majorBidi" w:hAnsiTheme="majorBidi" w:cstheme="majorBidi"/>
          <w:b/>
          <w:bCs/>
          <w:noProof/>
          <w:sz w:val="24"/>
          <w:szCs w:val="24"/>
        </w:rPr>
        <w:t>)</w:t>
      </w:r>
      <w:r w:rsidR="00F108F2" w:rsidRPr="00C80D67">
        <w:rPr>
          <w:rFonts w:asciiTheme="majorBidi" w:hAnsiTheme="majorBidi" w:cstheme="majorBidi"/>
          <w:b/>
          <w:bCs/>
          <w:sz w:val="24"/>
          <w:szCs w:val="24"/>
        </w:rPr>
        <w:fldChar w:fldCharType="end"/>
      </w:r>
      <w:r w:rsidRPr="006755FE">
        <w:rPr>
          <w:rFonts w:asciiTheme="majorBidi" w:hAnsiTheme="majorBidi" w:cstheme="majorBidi"/>
          <w:sz w:val="24"/>
          <w:szCs w:val="24"/>
        </w:rPr>
        <w:t>. The present investigation further show</w:t>
      </w:r>
      <w:r w:rsidR="00AC18E4">
        <w:rPr>
          <w:rFonts w:asciiTheme="majorBidi" w:hAnsiTheme="majorBidi" w:cstheme="majorBidi"/>
          <w:sz w:val="24"/>
          <w:szCs w:val="24"/>
        </w:rPr>
        <w:t>ed</w:t>
      </w:r>
      <w:r w:rsidRPr="006755FE">
        <w:rPr>
          <w:rFonts w:asciiTheme="majorBidi" w:hAnsiTheme="majorBidi" w:cstheme="majorBidi"/>
          <w:sz w:val="24"/>
          <w:szCs w:val="24"/>
        </w:rPr>
        <w:t xml:space="preserve"> that Cd</w:t>
      </w:r>
      <w:r w:rsidR="00AC18E4">
        <w:rPr>
          <w:rFonts w:asciiTheme="majorBidi" w:hAnsiTheme="majorBidi" w:cstheme="majorBidi"/>
          <w:sz w:val="24"/>
          <w:szCs w:val="24"/>
        </w:rPr>
        <w:t>-</w:t>
      </w:r>
      <w:r w:rsidRPr="006755FE">
        <w:rPr>
          <w:rFonts w:asciiTheme="majorBidi" w:hAnsiTheme="majorBidi" w:cstheme="majorBidi"/>
          <w:sz w:val="24"/>
          <w:szCs w:val="24"/>
        </w:rPr>
        <w:t>induced hepatic injury, which was supported by histological data, but when administered in conjunction with FU, more substantial hepatic damage had occurred compared to other groups. These findings are in line with studies by</w:t>
      </w:r>
      <w:r w:rsidR="008809A5" w:rsidRPr="008809A5">
        <w:rPr>
          <w:rFonts w:asciiTheme="majorBidi" w:hAnsiTheme="majorBidi" w:cstheme="majorBidi"/>
          <w:b/>
          <w:bCs/>
          <w:noProof/>
          <w:sz w:val="24"/>
          <w:szCs w:val="24"/>
        </w:rPr>
        <w:t xml:space="preserve"> </w:t>
      </w:r>
      <w:r w:rsidR="00C35DBF" w:rsidRPr="006755FE">
        <w:rPr>
          <w:rFonts w:asciiTheme="majorBidi" w:hAnsiTheme="majorBidi" w:cstheme="majorBidi"/>
          <w:b/>
          <w:bCs/>
          <w:sz w:val="24"/>
          <w:szCs w:val="24"/>
        </w:rPr>
        <w:fldChar w:fldCharType="begin" w:fldLock="1"/>
      </w:r>
      <w:r w:rsidR="00C35DBF" w:rsidRPr="006755FE">
        <w:rPr>
          <w:rFonts w:asciiTheme="majorBidi" w:hAnsiTheme="majorBidi" w:cstheme="majorBidi"/>
          <w:b/>
          <w:bCs/>
          <w:sz w:val="24"/>
          <w:szCs w:val="24"/>
        </w:rPr>
        <w:instrText>ADDIN CSL_CITATION {"citationItems":[{"id":"ITEM-1","itemData":{"DOI":"10.1515/intox-2015-0023","ISSN":"13379569","abstract":"Cadmium (Cd) is an environmental toxic metal implicated in lipid abnormalities. The present study was designed to elucidate the possible association between chronic exposure to Cd concentration and alterations in plasma lipid, lipoprotein, and oxidative stress indices in rats. Sixteen male rats were assigned to 2 groups of 8 rats each (test and control). The Cd-exposed group obtained drinking water containing cadmium chloride (CdCl2) in the concentration of 2.0 mg Cd/L in drinking water for 3 months. At the end of the experimental period, blood samples were obtained to determine the changes of serum triglycerides (TG), total cholesterol (TC), high-density lipoprotein cholesterol (HDL-C), low-density lipoprotein cholesterol (LDL-C), reduced glutathione (GSH), malondialdehyde (MDA) and also serum Cd contents. The results of the present study indicated that Cd administration significantly increased the serum levels of TG, TC, LDL-C, MDA and Cd with reduction in the HDL-C and GSH levels. In conclusion, evidence is presented that chronic exposure to low Cd concentration can adversely affect the lipid and lipoprotein profile via lipid peroxidation.","author":[{"dropping-particle":"","family":"Samarghandian","given":"Saeed","non-dropping-particle":"","parse-names":false,"suffix":""},{"dropping-particle":"","family":"Azimi-Nezhad","given":"Mohsen","non-dropping-particle":"","parse-names":false,"suffix":""},{"dropping-particle":"","family":"Shabestari","given":"Mahmoud M.","non-dropping-particle":"","parse-names":false,"suffix":""},{"dropping-particle":"","family":"Azad","given":"Farahzad Jabbari","non-dropping-particle":"","parse-names":false,"suffix":""},{"dropping-particle":"","family":"Farkhondeh","given":"Tahereh","non-dropping-particle":"","parse-names":false,"suffix":""},{"dropping-particle":"","family":"Bafandeh","given":"Fereshteh","non-dropping-particle":"","parse-names":false,"suffix":""}],"container-title":"Interdisciplinary Toxicology","id":"ITEM-1","issue":"3","issued":{"date-parts":[["2015"]]},"page":"151-154","title":"Effect of chronic exposure to cadmium on serum lipid, lipoprotein and oxidative stress indices in male rats","type":"article-journal","volume":"8"},"uris":["http://www.mendeley.com/documents/?uuid=aaecff3c-21f3-4d14-900d-9c6d11b595f1"]}],"mendeley":{"formattedCitation":"(Samarghandian et al., 2015)","manualFormatting":"Samarghandian et al. ( 2015)","plainTextFormattedCitation":"(Samarghandian et al., 2015)","previouslyFormattedCitation":"(Samarghandian et al., 2015)"},"properties":{"noteIndex":0},"schema":"https://github.com/citation-style-language/schema/raw/master/csl-citation.json"}</w:instrText>
      </w:r>
      <w:r w:rsidR="00C35DBF" w:rsidRPr="006755FE">
        <w:rPr>
          <w:rFonts w:asciiTheme="majorBidi" w:hAnsiTheme="majorBidi" w:cstheme="majorBidi"/>
          <w:b/>
          <w:bCs/>
          <w:sz w:val="24"/>
          <w:szCs w:val="24"/>
        </w:rPr>
        <w:fldChar w:fldCharType="separate"/>
      </w:r>
      <w:r w:rsidR="00C35DBF" w:rsidRPr="006755FE">
        <w:rPr>
          <w:rFonts w:asciiTheme="majorBidi" w:hAnsiTheme="majorBidi" w:cstheme="majorBidi"/>
          <w:b/>
          <w:bCs/>
          <w:noProof/>
          <w:sz w:val="24"/>
          <w:szCs w:val="24"/>
        </w:rPr>
        <w:t xml:space="preserve">Samarghandian </w:t>
      </w:r>
      <w:r w:rsidR="00C35DBF" w:rsidRPr="00C35DBF">
        <w:rPr>
          <w:rFonts w:asciiTheme="majorBidi" w:hAnsiTheme="majorBidi" w:cstheme="majorBidi"/>
          <w:b/>
          <w:bCs/>
          <w:i/>
          <w:iCs/>
          <w:noProof/>
          <w:sz w:val="24"/>
          <w:szCs w:val="24"/>
        </w:rPr>
        <w:t>et al</w:t>
      </w:r>
      <w:r w:rsidR="00C35DBF" w:rsidRPr="006755FE">
        <w:rPr>
          <w:rFonts w:asciiTheme="majorBidi" w:hAnsiTheme="majorBidi" w:cstheme="majorBidi"/>
          <w:b/>
          <w:bCs/>
          <w:noProof/>
          <w:sz w:val="24"/>
          <w:szCs w:val="24"/>
        </w:rPr>
        <w:t xml:space="preserve">. ( </w:t>
      </w:r>
      <w:r w:rsidR="00C35DBF" w:rsidRPr="006755FE">
        <w:rPr>
          <w:rFonts w:asciiTheme="majorBidi" w:hAnsiTheme="majorBidi" w:cstheme="majorBidi"/>
          <w:b/>
          <w:bCs/>
          <w:noProof/>
          <w:sz w:val="24"/>
          <w:szCs w:val="24"/>
        </w:rPr>
        <w:lastRenderedPageBreak/>
        <w:t>2015)</w:t>
      </w:r>
      <w:r w:rsidR="00C35DBF" w:rsidRPr="006755FE">
        <w:rPr>
          <w:rFonts w:asciiTheme="majorBidi" w:hAnsiTheme="majorBidi" w:cstheme="majorBidi"/>
          <w:b/>
          <w:bCs/>
          <w:sz w:val="24"/>
          <w:szCs w:val="24"/>
        </w:rPr>
        <w:fldChar w:fldCharType="end"/>
      </w:r>
      <w:r w:rsidR="00C35DBF" w:rsidRPr="006755FE">
        <w:rPr>
          <w:rFonts w:asciiTheme="majorBidi" w:hAnsiTheme="majorBidi" w:cstheme="majorBidi"/>
          <w:b/>
          <w:bCs/>
          <w:sz w:val="24"/>
          <w:szCs w:val="24"/>
        </w:rPr>
        <w:t xml:space="preserve">, </w:t>
      </w:r>
      <w:r w:rsidR="00C35DBF" w:rsidRPr="006755FE">
        <w:rPr>
          <w:rFonts w:asciiTheme="majorBidi" w:hAnsiTheme="majorBidi" w:cstheme="majorBidi"/>
          <w:b/>
          <w:bCs/>
          <w:sz w:val="24"/>
          <w:szCs w:val="24"/>
        </w:rPr>
        <w:fldChar w:fldCharType="begin" w:fldLock="1"/>
      </w:r>
      <w:r w:rsidR="00C35DBF" w:rsidRPr="006755FE">
        <w:rPr>
          <w:rFonts w:asciiTheme="majorBidi" w:hAnsiTheme="majorBidi" w:cstheme="majorBidi"/>
          <w:b/>
          <w:bCs/>
          <w:sz w:val="24"/>
          <w:szCs w:val="24"/>
        </w:rPr>
        <w:instrText>ADDIN CSL_CITATION {"citationItems":[{"id":"ITEM-1","itemData":{"DOI":"10.1007/s11356-019-05783-x","ISSN":"16147499","PMID":"31256392","abstract":"Cadmium (Cd) is a common environmental pollutant that threatens humans’ and animals’ health. Non-steroidal anti-inflammatory drugs (NSAIDs) are widely used drugs due to their wide therapeutic action; however, they have significant side effects. Since, under many circumstances, humans and animals may be co-exposed to Cd and NSAIDs, the current investigation was assigned to explore the intertwining relationship between Cd and NSAIDs. Four groups of male Wister rats were used: control group: rats received saline; Cd group: rats received cadmium (Cd, 2 mg/kg) orally; Px group: rats received a NSAID (piroxicam, Px, 7 mg/kg, i.p.); and Cd+Px group: rats received both Cd+Px. All treatments were given once a day for 28 consecutive days. Then, blood samples, stomach, liver, and kidney tissues were collected. The results indicated that Px provoked gastric ulcer indicated by high ulcer index, while Cd had no effect on the gastric mucosa. In addition, treatment with Cd or Px alone significantly induced liver and kidney injuries indicated by serum elevations of AST, ALT, ALP, ALB, total protein, creatinine, and urea along with histopathological alterations. Significant increases in malondialdehyde and reduction in GSH and CAT contents were reported along with up-regulated expression of Bax and Bcl-2 after Cd or Px exposure. However, when Cd and Px were given in a combination, Cd obviously potentiated the Px-inflicted cellular injury and death in the liver and kidney but not in the stomach when compared to their individual exposure. This study concluded that oxidative stress mechanisms were supposed to be the main modulator in promoting Cd and Px toxicities when given in combination.","author":[{"dropping-particle":"","family":"Abdeen","given":"Ahmed","non-dropping-particle":"","parse-names":false,"suffix":""},{"dropping-particle":"","family":"Abou-Zaid","given":"Omayma A.","non-dropping-particle":"","parse-names":false,"suffix":""},{"dropping-particle":"","family":"Abdel-Maksoud","given":"Hussein A.","non-dropping-particle":"","parse-names":false,"suffix":""},{"dropping-particle":"","family":"Aboubakr","given":"Mohamed","non-dropping-particle":"","parse-names":false,"suffix":""},{"dropping-particle":"","family":"Abdelkader","given":"Afaf","non-dropping-particle":"","parse-names":false,"suffix":""},{"dropping-particle":"","family":"Abdelnaby","given":"Amany","non-dropping-particle":"","parse-names":false,"suffix":""},{"dropping-particle":"","family":"Abo-Ahmed","given":"Ahmed I.","non-dropping-particle":"","parse-names":false,"suffix":""},{"dropping-particle":"","family":"El-Mleeh","given":"Amany","non-dropping-particle":"","parse-names":false,"suffix":""},{"dropping-particle":"","family":"Mostafa","given":"Ola","non-dropping-particle":"","parse-names":false,"suffix":""},{"dropping-particle":"","family":"Abdel-Daim","given":"Mohamed","non-dropping-particle":"","parse-names":false,"suffix":""},{"dropping-particle":"","family":"Aleya","given":"Lotfi","non-dropping-particle":"","parse-names":false,"suffix":""}],"container-title":"Environmental Science and Pollution Research","id":"ITEM-1","issue":"24","issued":{"date-parts":[["2019"]]},"page":"25167-25177","title":"Cadmium overload modulates piroxicam-regulated oxidative damage and apoptotic pathways","type":"article-journal","volume":"26"},"uris":["http://www.mendeley.com/documents/?uuid=1e561ba8-a3b4-4633-a65c-a3c5c1ee2240"]}],"mendeley":{"formattedCitation":"(Abdeen, Abou-Zaid, et al., 2019)","manualFormatting":"Abdeen et al. ( 2019)","plainTextFormattedCitation":"(Abdeen, Abou-Zaid, et al., 2019)","previouslyFormattedCitation":"(Abdeen, Abou-Zaid, et al., 2019)"},"properties":{"noteIndex":0},"schema":"https://github.com/citation-style-language/schema/raw/master/csl-citation.json"}</w:instrText>
      </w:r>
      <w:r w:rsidR="00C35DBF" w:rsidRPr="006755FE">
        <w:rPr>
          <w:rFonts w:asciiTheme="majorBidi" w:hAnsiTheme="majorBidi" w:cstheme="majorBidi"/>
          <w:b/>
          <w:bCs/>
          <w:sz w:val="24"/>
          <w:szCs w:val="24"/>
        </w:rPr>
        <w:fldChar w:fldCharType="separate"/>
      </w:r>
      <w:r w:rsidR="00C35DBF" w:rsidRPr="006755FE">
        <w:rPr>
          <w:rFonts w:asciiTheme="majorBidi" w:hAnsiTheme="majorBidi" w:cstheme="majorBidi"/>
          <w:b/>
          <w:bCs/>
          <w:noProof/>
          <w:sz w:val="24"/>
          <w:szCs w:val="24"/>
        </w:rPr>
        <w:t xml:space="preserve">Abdeen </w:t>
      </w:r>
      <w:r w:rsidR="00C35DBF" w:rsidRPr="00C35DBF">
        <w:rPr>
          <w:rFonts w:asciiTheme="majorBidi" w:hAnsiTheme="majorBidi" w:cstheme="majorBidi"/>
          <w:b/>
          <w:bCs/>
          <w:i/>
          <w:iCs/>
          <w:noProof/>
          <w:sz w:val="24"/>
          <w:szCs w:val="24"/>
        </w:rPr>
        <w:t>et al</w:t>
      </w:r>
      <w:r w:rsidR="00C35DBF" w:rsidRPr="006755FE">
        <w:rPr>
          <w:rFonts w:asciiTheme="majorBidi" w:hAnsiTheme="majorBidi" w:cstheme="majorBidi"/>
          <w:b/>
          <w:bCs/>
          <w:noProof/>
          <w:sz w:val="24"/>
          <w:szCs w:val="24"/>
        </w:rPr>
        <w:t>. ( 2019</w:t>
      </w:r>
      <w:r w:rsidR="00C35DBF">
        <w:rPr>
          <w:rFonts w:asciiTheme="majorBidi" w:hAnsiTheme="majorBidi" w:cstheme="majorBidi"/>
          <w:b/>
          <w:bCs/>
          <w:noProof/>
          <w:sz w:val="24"/>
          <w:szCs w:val="24"/>
        </w:rPr>
        <w:t>a</w:t>
      </w:r>
      <w:r w:rsidR="00C35DBF" w:rsidRPr="006755FE">
        <w:rPr>
          <w:rFonts w:asciiTheme="majorBidi" w:hAnsiTheme="majorBidi" w:cstheme="majorBidi"/>
          <w:b/>
          <w:bCs/>
          <w:noProof/>
          <w:sz w:val="24"/>
          <w:szCs w:val="24"/>
        </w:rPr>
        <w:t>)</w:t>
      </w:r>
      <w:r w:rsidR="00C35DBF" w:rsidRPr="006755FE">
        <w:rPr>
          <w:rFonts w:asciiTheme="majorBidi" w:hAnsiTheme="majorBidi" w:cstheme="majorBidi"/>
          <w:b/>
          <w:bCs/>
          <w:sz w:val="24"/>
          <w:szCs w:val="24"/>
        </w:rPr>
        <w:fldChar w:fldCharType="end"/>
      </w:r>
      <w:r w:rsidR="00C35DBF" w:rsidRPr="006755FE">
        <w:rPr>
          <w:rFonts w:asciiTheme="majorBidi" w:hAnsiTheme="majorBidi" w:cstheme="majorBidi"/>
          <w:b/>
          <w:bCs/>
          <w:sz w:val="24"/>
          <w:szCs w:val="24"/>
        </w:rPr>
        <w:t xml:space="preserve">, and </w:t>
      </w:r>
      <w:r w:rsidR="00C35DBF" w:rsidRPr="006755FE">
        <w:rPr>
          <w:rFonts w:asciiTheme="majorBidi" w:hAnsiTheme="majorBidi" w:cstheme="majorBidi"/>
          <w:b/>
          <w:bCs/>
          <w:sz w:val="24"/>
          <w:szCs w:val="24"/>
        </w:rPr>
        <w:fldChar w:fldCharType="begin" w:fldLock="1"/>
      </w:r>
      <w:r w:rsidR="00C35DBF" w:rsidRPr="006755FE">
        <w:rPr>
          <w:rFonts w:asciiTheme="majorBidi" w:hAnsiTheme="majorBidi" w:cstheme="majorBidi"/>
          <w:b/>
          <w:bCs/>
          <w:sz w:val="24"/>
          <w:szCs w:val="24"/>
        </w:rPr>
        <w:instrText>ADDIN CSL_CITATION {"citationItems":[{"id":"ITEM-1","itemData":{"DOI":"10.1016/j.biopha.2022.112934","ISSN":"19506007","PMID":"35421786","abstract":"Cadmium (Cd) is one of the potent occupational and environmental toxicants, which induces oxidative stress to the multiple organs of the body, including liver. The present investigation was planned to evaluate the protective role of vitexin against Cd-prompted hepatotoxicity in rats. 24 male rats were divided into 4 groups viz. control, Cd-induced group (5 mg/kg), Cd + vitexin-treated group (2 mg/kg + 30 mg/kg), and vitexin-treated group (30 mg/kg). After 30 days of treatment, it was indicated that Cd escalated the level of liver function enzymes namely alanine transaminase (ALT), aspartate aminotransferase (AST) and alkaline phosphatase (ALP) as well as total bilirubin. Whereas the levels of albumin and total proteins were decreased in the rats. Additionally, it reduced the enzymatic activities of catalase (CAT), superoxide dismutase (SOD), glutathione peroxidase (GPx), glutathione reductase (GSR) and glutathione-S-transferase (GST), in addition to glutathione (GSH) content, whereas levels of malondialdehyde (MDA) and reactive oxygen species (ROS) were escalated. Furthermore, level of nuclear factor-kappa B (NF-κB), tumor necrosis factor-alpha (TNF-α), interleukin-1 beta (IL-1β) and interleukin-6 (IL-6) as well as the activity of cyclooxygenase-2 (COX-2) were increased. Besides, the level of Bax, caspase-9 and caspase-3 were elevated, while the Bcl-2 level was reduced following the Cd intoxication. Histopathological observation revealed significant hepatic tissue damage in Cd-administered rats. However, treatment of rats with vitexin significantly (p &lt; 0.05) improved the Cd-induced disruptions in biochemical parameters as well as histological damages. Therefore, it is concluded that vitexin could be used as a therapeutic agent to counter the Cd-generated hepatic toxicity in rats owing to its anti-oxidant, anti-apoptotic and anti-inflammatory potential.","author":[{"dropping-particle":"","family":"Noor","given":"Kiran Kousar","non-dropping-particle":"","parse-names":false,"suffix":""},{"dropping-particle":"","family":"Ijaz","given":"Muhammad Umar","non-dropping-particle":"","parse-names":false,"suffix":""},{"dropping-particle":"","family":"Ehsan","given":"Nazia","non-dropping-particle":"","parse-names":false,"suffix":""},{"drop</w:instrText>
      </w:r>
      <w:r w:rsidR="00C35DBF" w:rsidRPr="00C35DBF">
        <w:rPr>
          <w:rFonts w:asciiTheme="majorBidi" w:hAnsiTheme="majorBidi" w:cstheme="majorBidi"/>
          <w:b/>
          <w:bCs/>
          <w:sz w:val="24"/>
          <w:szCs w:val="24"/>
        </w:rPr>
        <w:instrText>ping-particle":"","family":"Tahir","given":"Arfa","non-dropping-particle":"","parse-names":false,"suffix":""},{"dropping-particle":"","family":"Yeni","given":"Derya Kertas","non-dropping-particle":"","parse-names":false,"suffix":""},{"dropping-particle":"","family":"Neamul Kabir Zihad","given":"S. M.","non-dropping-particle":"","parse-names":false,"suffix":""},{"dropping-particle":"","family":"Uddin","given":"Shaikh Jamal","non-dropping-particle":"","parse-names":false,"suffix":""},{"dropping-particle":"","family":"Ashraf","given":"Asma","non-dropping-particle":"","parse-names":false,"suffix":""},{"dropping-particle":"","family":"Simal-Gandara","given":"Jesus","non-dropping-particle":"","parse-names":false,"suffix":""}],"container-title":"Biomedicine and Pharmacotherapy","id":"ITEM-1","issued":{"date-parts":[["2022"]]},"page":"112934","publisher":"Elsevier Masson SAS","title":"Hepatoprotective role of vitexin against cadmium-induced liver damage in male rats: A biochemical, inflammatory, apoptotic and histopathological investigation","type":"article-journal","volume":"150"},"uris":["http://www.mendeley.com/documents/?uuid=91946262-9cb2-40ce-bda7-05f8737a0e5b"]}],"mendeley":{"formattedCitation":"(Noor et al., 2022)","manualFormatting":"Noor et al. ( 2022)","plainTextFormattedCitation":"(Noor et al., 2022)","previouslyFormattedCitation":"(Noor et al., 2022)"},"properties":{"noteIndex":0},"schema":"https://github.com/citation-style-language/schema/raw/master/csl-citation.json"}</w:instrText>
      </w:r>
      <w:r w:rsidR="00C35DBF" w:rsidRPr="006755FE">
        <w:rPr>
          <w:rFonts w:asciiTheme="majorBidi" w:hAnsiTheme="majorBidi" w:cstheme="majorBidi"/>
          <w:b/>
          <w:bCs/>
          <w:sz w:val="24"/>
          <w:szCs w:val="24"/>
        </w:rPr>
        <w:fldChar w:fldCharType="separate"/>
      </w:r>
      <w:r w:rsidR="00C35DBF" w:rsidRPr="00C35DBF">
        <w:rPr>
          <w:rFonts w:asciiTheme="majorBidi" w:hAnsiTheme="majorBidi" w:cstheme="majorBidi"/>
          <w:b/>
          <w:bCs/>
          <w:noProof/>
          <w:sz w:val="24"/>
          <w:szCs w:val="24"/>
        </w:rPr>
        <w:t xml:space="preserve">Noor </w:t>
      </w:r>
      <w:r w:rsidR="00C35DBF" w:rsidRPr="00C35DBF">
        <w:rPr>
          <w:rFonts w:asciiTheme="majorBidi" w:hAnsiTheme="majorBidi" w:cstheme="majorBidi"/>
          <w:b/>
          <w:bCs/>
          <w:i/>
          <w:iCs/>
          <w:noProof/>
          <w:sz w:val="24"/>
          <w:szCs w:val="24"/>
        </w:rPr>
        <w:t>et al</w:t>
      </w:r>
      <w:r w:rsidR="00C35DBF" w:rsidRPr="00C35DBF">
        <w:rPr>
          <w:rFonts w:asciiTheme="majorBidi" w:hAnsiTheme="majorBidi" w:cstheme="majorBidi"/>
          <w:b/>
          <w:bCs/>
          <w:noProof/>
          <w:sz w:val="24"/>
          <w:szCs w:val="24"/>
        </w:rPr>
        <w:t>. ( 2022)</w:t>
      </w:r>
      <w:r w:rsidR="00C35DBF" w:rsidRPr="006755FE">
        <w:rPr>
          <w:rFonts w:asciiTheme="majorBidi" w:hAnsiTheme="majorBidi" w:cstheme="majorBidi"/>
          <w:b/>
          <w:bCs/>
          <w:sz w:val="24"/>
          <w:szCs w:val="24"/>
        </w:rPr>
        <w:fldChar w:fldCharType="end"/>
      </w:r>
      <w:r w:rsidR="00C35DBF" w:rsidRPr="00C35DBF">
        <w:rPr>
          <w:rFonts w:asciiTheme="majorBidi" w:hAnsiTheme="majorBidi" w:cstheme="majorBidi"/>
          <w:b/>
          <w:bCs/>
          <w:sz w:val="24"/>
          <w:szCs w:val="24"/>
        </w:rPr>
        <w:t xml:space="preserve"> </w:t>
      </w:r>
      <w:r w:rsidRPr="000C214B">
        <w:rPr>
          <w:rFonts w:asciiTheme="majorBidi" w:hAnsiTheme="majorBidi" w:cstheme="majorBidi"/>
          <w:sz w:val="24"/>
          <w:szCs w:val="24"/>
        </w:rPr>
        <w:t xml:space="preserve">that </w:t>
      </w:r>
      <w:r w:rsidR="00734213" w:rsidRPr="000C214B">
        <w:rPr>
          <w:rFonts w:asciiTheme="majorBidi" w:hAnsiTheme="majorBidi" w:cstheme="majorBidi"/>
          <w:sz w:val="24"/>
          <w:szCs w:val="24"/>
        </w:rPr>
        <w:t>show</w:t>
      </w:r>
      <w:r w:rsidRPr="000C214B">
        <w:rPr>
          <w:rFonts w:asciiTheme="majorBidi" w:hAnsiTheme="majorBidi" w:cstheme="majorBidi"/>
          <w:sz w:val="24"/>
          <w:szCs w:val="24"/>
        </w:rPr>
        <w:t xml:space="preserve"> the substantial harm that causes to rat liver cells.</w:t>
      </w:r>
    </w:p>
    <w:p w14:paraId="727A876E" w14:textId="5AAD3E82" w:rsidR="006755FE" w:rsidRPr="006755FE" w:rsidRDefault="006755FE" w:rsidP="00AC18E4">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Increased generation of ROS is expected to cause an intensified inflammatory response because it triggers an intracellular signaling cascade, increases the expression of genes linked to inflammation, and releases inflammatory mediators</w:t>
      </w:r>
      <w:r w:rsidRPr="006755FE">
        <w:rPr>
          <w:rFonts w:asciiTheme="majorBidi" w:hAnsiTheme="majorBidi" w:cstheme="majorBidi"/>
          <w:b/>
          <w:bCs/>
          <w:sz w:val="24"/>
          <w:szCs w:val="24"/>
        </w:rPr>
        <w:t xml:space="preserve"> </w:t>
      </w:r>
      <w:r w:rsidRPr="00C35DBF">
        <w:rPr>
          <w:rFonts w:asciiTheme="majorBidi" w:hAnsiTheme="majorBidi" w:cstheme="majorBidi"/>
          <w:b/>
          <w:bCs/>
          <w:sz w:val="24"/>
          <w:szCs w:val="24"/>
        </w:rPr>
        <w:fldChar w:fldCharType="begin" w:fldLock="1"/>
      </w:r>
      <w:r w:rsidR="00F03936" w:rsidRPr="00C35DBF">
        <w:rPr>
          <w:rFonts w:asciiTheme="majorBidi" w:hAnsiTheme="majorBidi" w:cstheme="majorBidi"/>
          <w:b/>
          <w:bCs/>
          <w:sz w:val="24"/>
          <w:szCs w:val="24"/>
        </w:rPr>
        <w:instrText>ADDIN CSL_CITATION {"citationItems":[{"id":"ITEM-1","itemData":{"ISSN":"2397-8473","author":[{"dropping-particle":"","family":"Owumi","given":"Solomon E","non-dropping-particle":"","parse-names":false,"suffix":""},{"dropping-particle":"","family":"Ijadele","given":"Abigail O","non-dropping-particle":"","parse-names":false,"suffix":""},{"dropping-particle":"","family":"Arunsi","given":"Uche O","non-dropping-particle":"","parse-names":false,"suffix":""},{"dropping-particle":"","family":"Odunola","given":"Oyeronke A","non-dropping-particle":"","parse-names":false,"suffix":""}],"container-title":"Toxicology research and application","id":"ITEM-1","issued":{"date-parts":[["2020"]]},"page":"2397847320972040","publisher":"SAGE Publications Sage UK: London, England","title":"Luteolin abates reproductive toxicity mediated by the oxido-inflammatory response in Doxorubicin-treated rats","type":"article-journal","volume":"4"},"uris":["http://www.mendeley.com/documents/?uuid=e78a3fcc-a80a-4dd8-97dd-b082bc6eef9a"]}],"mendeley":{"formattedCitation":"(Owumi &lt;i&gt;et al.&lt;/i&gt;, 2020)","plainTextFormattedCitation":"(Owumi et al., 2020)","previouslyFormattedCitation":"[41]"},"properties":{"noteIndex":0},"schema":"https://github.com/citation-style-language/schema/raw/master/csl-citation.json"}</w:instrText>
      </w:r>
      <w:r w:rsidRPr="00C35DBF">
        <w:rPr>
          <w:rFonts w:asciiTheme="majorBidi" w:hAnsiTheme="majorBidi" w:cstheme="majorBidi"/>
          <w:b/>
          <w:bCs/>
          <w:sz w:val="24"/>
          <w:szCs w:val="24"/>
        </w:rPr>
        <w:fldChar w:fldCharType="separate"/>
      </w:r>
      <w:r w:rsidR="00F03936" w:rsidRPr="00C35DBF">
        <w:rPr>
          <w:rFonts w:asciiTheme="majorBidi" w:hAnsiTheme="majorBidi" w:cstheme="majorBidi"/>
          <w:b/>
          <w:bCs/>
          <w:noProof/>
          <w:sz w:val="24"/>
          <w:szCs w:val="24"/>
        </w:rPr>
        <w:t xml:space="preserve">(Owumi </w:t>
      </w:r>
      <w:r w:rsidR="00F03936" w:rsidRPr="00C35DBF">
        <w:rPr>
          <w:rFonts w:asciiTheme="majorBidi" w:hAnsiTheme="majorBidi" w:cstheme="majorBidi"/>
          <w:b/>
          <w:bCs/>
          <w:i/>
          <w:noProof/>
          <w:sz w:val="24"/>
          <w:szCs w:val="24"/>
        </w:rPr>
        <w:t>et al.</w:t>
      </w:r>
      <w:r w:rsidR="00F03936" w:rsidRPr="00C35DBF">
        <w:rPr>
          <w:rFonts w:asciiTheme="majorBidi" w:hAnsiTheme="majorBidi" w:cstheme="majorBidi"/>
          <w:b/>
          <w:bCs/>
          <w:noProof/>
          <w:sz w:val="24"/>
          <w:szCs w:val="24"/>
        </w:rPr>
        <w:t>, 2020)</w:t>
      </w:r>
      <w:r w:rsidRPr="00C35DBF">
        <w:rPr>
          <w:rFonts w:asciiTheme="majorBidi" w:hAnsiTheme="majorBidi" w:cstheme="majorBidi"/>
          <w:b/>
          <w:bCs/>
          <w:sz w:val="24"/>
          <w:szCs w:val="24"/>
        </w:rPr>
        <w:fldChar w:fldCharType="end"/>
      </w:r>
      <w:r w:rsidRPr="006755FE">
        <w:rPr>
          <w:rFonts w:asciiTheme="majorBidi" w:hAnsiTheme="majorBidi" w:cstheme="majorBidi"/>
          <w:sz w:val="24"/>
          <w:szCs w:val="24"/>
        </w:rPr>
        <w:t xml:space="preserve">. According to mounting evidence, exposure to FU </w:t>
      </w:r>
      <w:r w:rsidRPr="00C35DBF">
        <w:rPr>
          <w:rFonts w:asciiTheme="majorBidi" w:hAnsiTheme="majorBidi" w:cstheme="majorBidi"/>
          <w:b/>
          <w:bCs/>
          <w:sz w:val="24"/>
          <w:szCs w:val="24"/>
        </w:rPr>
        <w:fldChar w:fldCharType="begin" w:fldLock="1"/>
      </w:r>
      <w:r w:rsidR="00C35DBF" w:rsidRPr="00C35DBF">
        <w:rPr>
          <w:rFonts w:asciiTheme="majorBidi" w:hAnsiTheme="majorBidi" w:cstheme="majorBidi"/>
          <w:b/>
          <w:bCs/>
          <w:sz w:val="24"/>
          <w:szCs w:val="24"/>
        </w:rPr>
        <w:instrText>ADDIN CSL_CITATION {"citationItems":[{"id":"ITEM-1","itemData":{"DOI":"10.1080/01480545.2021.1890109","ISSN":"15256014","PMID":"33645375","abstract":"Furan formed in processed food is hepatotoxic and likely carcinogenic in humans. We investigated protocatechuic acid (PCA) protective role in rats’ hepatorenal function treated with furan. Rats were grouped and treated as follows: Control, PCA (50 mg/kg), furan alone (8 mg/kg), furan + PCA1 (25 + 8 mg/kg), and furan + PCA2 (50 + 8 mg/kg). Upon sacrifice, evaluation of hepatorenal function, oxidative stress status, reactive oxygen and nitrogen species (RONS), lipid peroxidation (LPO), myeloperoxidase (MPO) activity, among nitric oxide (NO) levels were performed. Cytokine levels (IL-10, IL-1ß, TNF-alpha), Caspase 3 and 9 activities, and histopathological examination were also assessed. We found that the final body and relative liver weights changed significantly (p &lt; 0.05) in treated groups. Hepatic transaminases, urea, and creatinine increased (p &lt; 0.05) in furan only treated group, and reduced in PCA co-treated groups. The furan-induced decrease in antioxidant status increased RONS, and LPO levels were alleviated (p &lt; 0.05) by PCA co-treatment. Furthermore, furan-mediated increase in NO, IL-1ß, TNF-alpha levels, MPO, Cas-3, and 9 activities and suppressed IL-10 levels was reversed accordingly in rats’ kidney and liver co-treated with PCA. The extent of furan-mediated hepatorenal lesions was lessened in PCA co-treated rats. Our findings suggest that PCA protects against oxido-inflammatory pathways, enhanced caspases 3 and 9 activations induced by furan in rat hepatorenal system.","author":[{"dropping-particle":"","family":"Owumi","given":"Solomon E.","non-dropping-particle":"","parse-names":false,"suffix":""},{"dropping-particle":"","family":"Bello","given":"Samuel A.","non-dropping-particle":"","parse-names":false,"suffix":""},{"dropping-particle":"","family":"Idowu","given":"Temitope B.","non-dropping-particle":"","parse-names":false,"suffix":""},{"dropping-particle":"","family":"Arunsi","given":"Uche O.","non-dropping-particle":"","parse-names":false,"suffix":""},{"dropping-particle":"","family":"Oyelere","given":"Adegboyega K.","non-dropping-particle":"","parse-names":false,"suffix":""}],"container-title":"Drug and Chemical Toxicology","id":"ITEM-1","issue":"4","issued":{"date-parts":[["2022"]]},"page":"1840-1850","publisher":"Taylor &amp; Francis","title":"Protocatechuic acid protects against hepatorenal toxicities in rats exposed to Furan","type":"article-journal","volume":"45"},"uris":["http://www.mendeley.com/documents/?uuid=c4ad0b15-63ae-4144-941a-8ad15898976d"]}],"mendeley":{"formattedCitation":"(Owumi, Bello, &lt;i&gt;et al.&lt;/i&gt;, 2022)","manualFormatting":"(Owumi et al., 2022b)","plainTextFormattedCitation":"(Owumi, Bello, et al., 2022)","previouslyFormattedCitation":"[42]"},"properties":{"noteIndex":0},"schema":"https://github.com/citation-style-language/schema/raw/master/csl-citation.json"}</w:instrText>
      </w:r>
      <w:r w:rsidRPr="00C35DBF">
        <w:rPr>
          <w:rFonts w:asciiTheme="majorBidi" w:hAnsiTheme="majorBidi" w:cstheme="majorBidi"/>
          <w:b/>
          <w:bCs/>
          <w:sz w:val="24"/>
          <w:szCs w:val="24"/>
        </w:rPr>
        <w:fldChar w:fldCharType="separate"/>
      </w:r>
      <w:r w:rsidR="00F03936" w:rsidRPr="00C35DBF">
        <w:rPr>
          <w:rFonts w:asciiTheme="majorBidi" w:hAnsiTheme="majorBidi" w:cstheme="majorBidi"/>
          <w:b/>
          <w:bCs/>
          <w:noProof/>
          <w:sz w:val="24"/>
          <w:szCs w:val="24"/>
        </w:rPr>
        <w:t>(</w:t>
      </w:r>
      <w:r w:rsidR="00C35DBF" w:rsidRPr="00C35DBF">
        <w:rPr>
          <w:rFonts w:asciiTheme="majorBidi" w:hAnsiTheme="majorBidi" w:cstheme="majorBidi"/>
          <w:b/>
          <w:bCs/>
          <w:noProof/>
          <w:sz w:val="24"/>
          <w:szCs w:val="24"/>
        </w:rPr>
        <w:t xml:space="preserve">Owumi </w:t>
      </w:r>
      <w:r w:rsidR="00C35DBF" w:rsidRPr="00756FFE">
        <w:rPr>
          <w:rFonts w:asciiTheme="majorBidi" w:hAnsiTheme="majorBidi" w:cstheme="majorBidi"/>
          <w:b/>
          <w:bCs/>
          <w:i/>
          <w:iCs/>
          <w:noProof/>
          <w:sz w:val="24"/>
          <w:szCs w:val="24"/>
        </w:rPr>
        <w:t>et al</w:t>
      </w:r>
      <w:r w:rsidR="00C35DBF" w:rsidRPr="00C35DBF">
        <w:rPr>
          <w:rFonts w:asciiTheme="majorBidi" w:hAnsiTheme="majorBidi" w:cstheme="majorBidi"/>
          <w:b/>
          <w:bCs/>
          <w:noProof/>
          <w:sz w:val="24"/>
          <w:szCs w:val="24"/>
        </w:rPr>
        <w:t>., 2022b</w:t>
      </w:r>
      <w:r w:rsidR="00F03936" w:rsidRPr="00C35DBF">
        <w:rPr>
          <w:rFonts w:asciiTheme="majorBidi" w:hAnsiTheme="majorBidi" w:cstheme="majorBidi"/>
          <w:b/>
          <w:bCs/>
          <w:noProof/>
          <w:sz w:val="24"/>
          <w:szCs w:val="24"/>
        </w:rPr>
        <w:t>)</w:t>
      </w:r>
      <w:r w:rsidRPr="00C35DBF">
        <w:rPr>
          <w:rFonts w:asciiTheme="majorBidi" w:hAnsiTheme="majorBidi" w:cstheme="majorBidi"/>
          <w:b/>
          <w:bCs/>
          <w:sz w:val="24"/>
          <w:szCs w:val="24"/>
        </w:rPr>
        <w:fldChar w:fldCharType="end"/>
      </w:r>
      <w:r w:rsidRPr="006755FE">
        <w:rPr>
          <w:rFonts w:asciiTheme="majorBidi" w:hAnsiTheme="majorBidi" w:cstheme="majorBidi"/>
          <w:b/>
          <w:bCs/>
          <w:sz w:val="24"/>
          <w:szCs w:val="24"/>
        </w:rPr>
        <w:t xml:space="preserve"> </w:t>
      </w:r>
      <w:r w:rsidRPr="006755FE">
        <w:rPr>
          <w:rFonts w:asciiTheme="majorBidi" w:hAnsiTheme="majorBidi" w:cstheme="majorBidi"/>
          <w:sz w:val="24"/>
          <w:szCs w:val="24"/>
        </w:rPr>
        <w:t>and</w:t>
      </w:r>
      <w:r w:rsidRPr="006755FE">
        <w:rPr>
          <w:rFonts w:asciiTheme="majorBidi" w:hAnsiTheme="majorBidi" w:cstheme="majorBidi"/>
          <w:b/>
          <w:bCs/>
          <w:sz w:val="24"/>
          <w:szCs w:val="24"/>
        </w:rPr>
        <w:t xml:space="preserve"> </w:t>
      </w:r>
      <w:r w:rsidRPr="006755FE">
        <w:rPr>
          <w:rFonts w:asciiTheme="majorBidi" w:hAnsiTheme="majorBidi" w:cstheme="majorBidi"/>
          <w:sz w:val="24"/>
          <w:szCs w:val="24"/>
        </w:rPr>
        <w:t xml:space="preserve">Cd </w:t>
      </w:r>
      <w:r w:rsidRPr="00C35DBF">
        <w:rPr>
          <w:rFonts w:asciiTheme="majorBidi" w:hAnsiTheme="majorBidi" w:cstheme="majorBidi"/>
          <w:b/>
          <w:bCs/>
          <w:sz w:val="24"/>
          <w:szCs w:val="24"/>
        </w:rPr>
        <w:fldChar w:fldCharType="begin" w:fldLock="1"/>
      </w:r>
      <w:r w:rsidR="00F03936" w:rsidRPr="00C35DBF">
        <w:rPr>
          <w:rFonts w:asciiTheme="majorBidi" w:hAnsiTheme="majorBidi" w:cstheme="majorBidi"/>
          <w:b/>
          <w:bCs/>
          <w:sz w:val="24"/>
          <w:szCs w:val="24"/>
        </w:rPr>
        <w:instrText>ADDIN CSL_CITATION {"citationItems":[{"id":"ITEM-1","itemData":{"ISSN":"1422-0067","author":[{"dropping-particle":"","family":"Elmallah","given":"Mohammed I Y","non-dropping-particle":"","parse-names":false,"suffix":""},{"dropping-particle":"","family":"Elkhadragy","given":"Manal F","non-dropping-particle":"","parse-names":false,"suffix":""},{"dropping-particle":"","family":"Al-Olayan","given":"Ebtesam M","non-dropping-particle":"","parse-names":false,"suffix":""},{"dropping-particle":"","family":"Abdel Moneim","given":"Ahmed E","non-dropping-particle":"","parse-names":false,"suffix":""}],"container-title":"International journal of molecular sciences","id":"ITEM-1","issue":"5","issued":{"date-parts":[["2017"]]},"page":"957","publisher":"MDPI","title":"Protective effect of Fragaria ananassa crude extract on cadmium-induced lipid peroxidation, antioxidant enzymes suppression, and apoptosis in rat testes","type":"article-journal","volume":"18"},"uris":["http://www.mendeley.com/documents/?uuid=b8544bd2-1beb-4283-ad29-805e1ef60d96","http://www.mendeley.com/documents/?uuid=ef7a9950-8688-48dc-afc5-ba99c8c663b8"]},{"id":"ITEM-2","itemData":{"ISSN":"1422-0067","author":[{"dropping-particle":"","family":"Joardar","given":"Swarnalata","non-dropping-particle":"","parse-names":false,"suffix":""},{"dropping-particle":"","family":"Dewanjee","given":"Saikat","non-dropping-particle":"","parse-names":false,"suffix":""},{"dropping-particle":"","family":"Bhowmick","given":"Shovonlal","non-dropping-particle":"","parse-names":false,"suffix":""},{"dropping-particle":"","family":"Dua","given":"Tarun K","non-dropping-particle":"","parse-names":false,"suffix":""},{"dropping-particle":"","family":"Das","given":"Sonjit","non-dropping-particle":"","parse-names":false,"suffix":""},{"dropping-particle":"","family":"Saha","given":"Achintya","non-dropping-particle":"","parse-names":false,"suffix":""},{"dropping-particle":"","family":"Feo","given":"Vincenzo","non-dropping-particle":"De","parse-names":false,"suffix":""}],"container-title":"International Journal of Molecular Sciences","id":"ITEM-2","issue":"8","issued":{"date-parts":[["2019"]]},"page":"2027","publisher":"MDPI","title":"Rosmarinic acid attenuates cadmium-induced nephrotoxicity via inhibition of oxidative stress, apoptosis, inflammation and fibrosis","type":"article-journal","volume":"20"},"uris":["http://www.mendeley.com/documents/?uuid=fb3fa8e9-a0cd-4360-ae7d-6b1ed766bcdf","http://www.mendeley.com/documents/?uuid=47a90bd8-b1ea-42a2-889b-68430743622a"]}],"mendeley":{"formattedCitation":"(Elmallah &lt;i&gt;et al.&lt;/i&gt;, 2017; Joardar &lt;i&gt;et al.&lt;/i&gt;, 2019)","plainTextFormattedCitation":"(Elmallah et al., 2017; Joardar et al., 2019)","previouslyFormattedCitation":"[43,44]"},"properties":{"noteIndex":0},"schema":"https://github.com/citation-style-language/schema/raw/master/csl-citation.json"}</w:instrText>
      </w:r>
      <w:r w:rsidRPr="00C35DBF">
        <w:rPr>
          <w:rFonts w:asciiTheme="majorBidi" w:hAnsiTheme="majorBidi" w:cstheme="majorBidi"/>
          <w:b/>
          <w:bCs/>
          <w:sz w:val="24"/>
          <w:szCs w:val="24"/>
        </w:rPr>
        <w:fldChar w:fldCharType="separate"/>
      </w:r>
      <w:r w:rsidR="00F03936" w:rsidRPr="00C35DBF">
        <w:rPr>
          <w:rFonts w:asciiTheme="majorBidi" w:hAnsiTheme="majorBidi" w:cstheme="majorBidi"/>
          <w:b/>
          <w:bCs/>
          <w:noProof/>
          <w:sz w:val="24"/>
          <w:szCs w:val="24"/>
        </w:rPr>
        <w:t xml:space="preserve">(Elmallah </w:t>
      </w:r>
      <w:r w:rsidR="00F03936" w:rsidRPr="00C35DBF">
        <w:rPr>
          <w:rFonts w:asciiTheme="majorBidi" w:hAnsiTheme="majorBidi" w:cstheme="majorBidi"/>
          <w:b/>
          <w:bCs/>
          <w:i/>
          <w:noProof/>
          <w:sz w:val="24"/>
          <w:szCs w:val="24"/>
        </w:rPr>
        <w:t>et al.</w:t>
      </w:r>
      <w:r w:rsidR="00F03936" w:rsidRPr="00C35DBF">
        <w:rPr>
          <w:rFonts w:asciiTheme="majorBidi" w:hAnsiTheme="majorBidi" w:cstheme="majorBidi"/>
          <w:b/>
          <w:bCs/>
          <w:noProof/>
          <w:sz w:val="24"/>
          <w:szCs w:val="24"/>
        </w:rPr>
        <w:t xml:space="preserve">, 2017; Joardar </w:t>
      </w:r>
      <w:r w:rsidR="00F03936" w:rsidRPr="00C35DBF">
        <w:rPr>
          <w:rFonts w:asciiTheme="majorBidi" w:hAnsiTheme="majorBidi" w:cstheme="majorBidi"/>
          <w:b/>
          <w:bCs/>
          <w:i/>
          <w:noProof/>
          <w:sz w:val="24"/>
          <w:szCs w:val="24"/>
        </w:rPr>
        <w:t>et al.</w:t>
      </w:r>
      <w:r w:rsidR="00F03936" w:rsidRPr="00C35DBF">
        <w:rPr>
          <w:rFonts w:asciiTheme="majorBidi" w:hAnsiTheme="majorBidi" w:cstheme="majorBidi"/>
          <w:b/>
          <w:bCs/>
          <w:noProof/>
          <w:sz w:val="24"/>
          <w:szCs w:val="24"/>
        </w:rPr>
        <w:t>, 2019)</w:t>
      </w:r>
      <w:r w:rsidRPr="00C35DBF">
        <w:rPr>
          <w:rFonts w:asciiTheme="majorBidi" w:hAnsiTheme="majorBidi" w:cstheme="majorBidi"/>
          <w:b/>
          <w:bCs/>
          <w:sz w:val="24"/>
          <w:szCs w:val="24"/>
        </w:rPr>
        <w:fldChar w:fldCharType="end"/>
      </w:r>
      <w:r w:rsidRPr="006755FE">
        <w:rPr>
          <w:rFonts w:asciiTheme="majorBidi" w:hAnsiTheme="majorBidi" w:cstheme="majorBidi"/>
          <w:sz w:val="24"/>
          <w:szCs w:val="24"/>
        </w:rPr>
        <w:t xml:space="preserve"> are linked to an inflammatory response. This is supported by the large rises in pro-inflammatory cytokines (</w:t>
      </w:r>
      <w:r w:rsidR="00743CAD">
        <w:rPr>
          <w:rFonts w:asciiTheme="majorBidi" w:hAnsiTheme="majorBidi" w:cstheme="majorBidi"/>
          <w:sz w:val="24"/>
          <w:szCs w:val="24"/>
        </w:rPr>
        <w:t>TNF-α</w:t>
      </w:r>
      <w:r w:rsidRPr="006755FE">
        <w:rPr>
          <w:rFonts w:asciiTheme="majorBidi" w:hAnsiTheme="majorBidi" w:cstheme="majorBidi"/>
          <w:sz w:val="24"/>
          <w:szCs w:val="24"/>
        </w:rPr>
        <w:t>) in the hepatic tissue of rats subjected to FU and testicular tissue homogenates of Cd</w:t>
      </w:r>
      <w:r w:rsidR="002D74BB">
        <w:rPr>
          <w:rFonts w:asciiTheme="majorBidi" w:hAnsiTheme="majorBidi" w:cstheme="majorBidi"/>
          <w:sz w:val="24"/>
          <w:szCs w:val="24"/>
        </w:rPr>
        <w:t>-</w:t>
      </w:r>
      <w:r w:rsidRPr="006755FE">
        <w:rPr>
          <w:rFonts w:asciiTheme="majorBidi" w:hAnsiTheme="majorBidi" w:cstheme="majorBidi"/>
          <w:sz w:val="24"/>
          <w:szCs w:val="24"/>
        </w:rPr>
        <w:t xml:space="preserve">intoxicated rats. These events initiate the apoptotic cascade. </w:t>
      </w:r>
    </w:p>
    <w:p w14:paraId="61AA757A" w14:textId="09003513" w:rsidR="006755FE" w:rsidRPr="006755FE" w:rsidRDefault="006755FE" w:rsidP="002D74BB">
      <w:pPr>
        <w:bidi w:val="0"/>
        <w:spacing w:after="0" w:line="360" w:lineRule="auto"/>
        <w:ind w:right="29" w:firstLine="720"/>
        <w:jc w:val="both"/>
        <w:rPr>
          <w:rFonts w:asciiTheme="majorBidi" w:hAnsiTheme="majorBidi" w:cstheme="majorBidi"/>
          <w:sz w:val="24"/>
          <w:szCs w:val="24"/>
        </w:rPr>
      </w:pPr>
      <w:r w:rsidRPr="006755FE">
        <w:rPr>
          <w:rFonts w:asciiTheme="majorBidi" w:hAnsiTheme="majorBidi" w:cstheme="majorBidi"/>
          <w:sz w:val="24"/>
          <w:szCs w:val="24"/>
        </w:rPr>
        <w:t>Apoptosis is a regulated process of cell death that is influenced by many signals and metabolic processes. In the current study</w:t>
      </w:r>
      <w:r w:rsidR="002D74BB">
        <w:rPr>
          <w:rFonts w:asciiTheme="majorBidi" w:hAnsiTheme="majorBidi" w:cstheme="majorBidi"/>
          <w:sz w:val="24"/>
          <w:szCs w:val="24"/>
        </w:rPr>
        <w:t>,</w:t>
      </w:r>
      <w:r w:rsidRPr="006755FE">
        <w:rPr>
          <w:rFonts w:asciiTheme="majorBidi" w:hAnsiTheme="majorBidi" w:cstheme="majorBidi"/>
          <w:sz w:val="24"/>
          <w:szCs w:val="24"/>
        </w:rPr>
        <w:t xml:space="preserve"> the cellular apoptosis was significantly instigated after FU and/or Cd ‐treatment demonstrated by upregulation of PCNA protein expression in hepatic tissue in combined exposure than either substance alone. PCNA is thought to be a useful biomarker for cellular proliferation that controls the rates of DNA replication and the cell cycle. These data</w:t>
      </w:r>
      <w:r w:rsidR="002D74BB">
        <w:rPr>
          <w:rFonts w:asciiTheme="majorBidi" w:hAnsiTheme="majorBidi" w:cstheme="majorBidi"/>
          <w:sz w:val="24"/>
          <w:szCs w:val="24"/>
        </w:rPr>
        <w:t xml:space="preserve"> are</w:t>
      </w:r>
      <w:r w:rsidRPr="006755FE">
        <w:rPr>
          <w:rFonts w:asciiTheme="majorBidi" w:hAnsiTheme="majorBidi" w:cstheme="majorBidi"/>
          <w:sz w:val="24"/>
          <w:szCs w:val="24"/>
        </w:rPr>
        <w:t xml:space="preserve"> consistent with the findings of </w:t>
      </w:r>
      <w:r w:rsidR="008766D4">
        <w:rPr>
          <w:rFonts w:asciiTheme="majorBidi" w:hAnsiTheme="majorBidi" w:cstheme="majorBidi"/>
          <w:sz w:val="24"/>
          <w:szCs w:val="24"/>
        </w:rPr>
        <w:t xml:space="preserve"> </w:t>
      </w:r>
      <w:r w:rsidR="00C35DBF" w:rsidRPr="006755FE">
        <w:rPr>
          <w:rFonts w:asciiTheme="majorBidi" w:hAnsiTheme="majorBidi" w:cstheme="majorBidi"/>
          <w:b/>
          <w:bCs/>
          <w:sz w:val="24"/>
          <w:szCs w:val="24"/>
        </w:rPr>
        <w:fldChar w:fldCharType="begin" w:fldLock="1"/>
      </w:r>
      <w:r w:rsidR="00C35DBF" w:rsidRPr="006755FE">
        <w:rPr>
          <w:rFonts w:asciiTheme="majorBidi" w:hAnsiTheme="majorBidi" w:cstheme="majorBidi"/>
          <w:b/>
          <w:bCs/>
          <w:sz w:val="24"/>
          <w:szCs w:val="24"/>
        </w:rPr>
        <w:instrText>ADDIN CSL_CITATION {"citationItems":[{"id":"ITEM-1","itemData":{"ISSN":"0147-6513","author":[{"dropping-particle":"","family":"Awad","given":"Ashraf","non-dropping-particle":"","parse-names":false,"suffix":""},{"dropping-particle":"","family":"Khalil","given":"Samah R","non-dropping-particle":"","parse-names":false,"suffix":""},{"dropping-particle":"","family":"Farag","given":"Mayada Ragab","non-dropping-particle":"","parse-names":false,"suffix":""},{"dropping-particle":"","family":"Nassan","given":"Mohamed Abdo","non-dropping-particle":"","parse-names":false,"suffix":""}],"container-title":"Ecotoxicology and Environmental Safety","id":"ITEM-1","issued":{"date-parts":[["2018"]]},"page":"235-244","publisher":"Elsevier","title":"Differential susceptibility of kidneys and livers to proliferative processes and transcriptional level of the genes encoding desmin, vimentin, connexin 43, and nestin in rats exposed to furan","type":"article-journal","volume":"162"},"uris":["http://www.mendeley.com/documents/?uuid=324fa3d9-f6a8-498c-b468-9dbedc6d054d"]}],"mendeley":{"formattedCitation":"(Awad et al., 2018)","manualFormatting":"Awad et al. (2018)","plainTextFormattedCitation":"(Awad et al., 2018)","previouslyFormattedCitation":"(Awad et al., 2018)"},"properties":{"noteIndex":0},"schema":"https://github.com/citation-style-language/schema/raw/master/csl-citation.json"}</w:instrText>
      </w:r>
      <w:r w:rsidR="00C35DBF" w:rsidRPr="006755FE">
        <w:rPr>
          <w:rFonts w:asciiTheme="majorBidi" w:hAnsiTheme="majorBidi" w:cstheme="majorBidi"/>
          <w:b/>
          <w:bCs/>
          <w:sz w:val="24"/>
          <w:szCs w:val="24"/>
        </w:rPr>
        <w:fldChar w:fldCharType="separate"/>
      </w:r>
      <w:r w:rsidR="00C35DBF" w:rsidRPr="006755FE">
        <w:rPr>
          <w:rFonts w:asciiTheme="majorBidi" w:hAnsiTheme="majorBidi" w:cstheme="majorBidi"/>
          <w:b/>
          <w:bCs/>
          <w:noProof/>
          <w:sz w:val="24"/>
          <w:szCs w:val="24"/>
        </w:rPr>
        <w:t xml:space="preserve">Awad </w:t>
      </w:r>
      <w:r w:rsidR="00C35DBF" w:rsidRPr="00C35DBF">
        <w:rPr>
          <w:rFonts w:asciiTheme="majorBidi" w:hAnsiTheme="majorBidi" w:cstheme="majorBidi"/>
          <w:b/>
          <w:bCs/>
          <w:i/>
          <w:iCs/>
          <w:noProof/>
          <w:sz w:val="24"/>
          <w:szCs w:val="24"/>
        </w:rPr>
        <w:t>et al</w:t>
      </w:r>
      <w:r w:rsidR="00C35DBF" w:rsidRPr="006755FE">
        <w:rPr>
          <w:rFonts w:asciiTheme="majorBidi" w:hAnsiTheme="majorBidi" w:cstheme="majorBidi"/>
          <w:b/>
          <w:bCs/>
          <w:noProof/>
          <w:sz w:val="24"/>
          <w:szCs w:val="24"/>
        </w:rPr>
        <w:t>. (2018)</w:t>
      </w:r>
      <w:r w:rsidR="00C35DBF" w:rsidRPr="006755FE">
        <w:rPr>
          <w:rFonts w:asciiTheme="majorBidi" w:hAnsiTheme="majorBidi" w:cstheme="majorBidi"/>
          <w:b/>
          <w:bCs/>
          <w:sz w:val="24"/>
          <w:szCs w:val="24"/>
        </w:rPr>
        <w:fldChar w:fldCharType="end"/>
      </w:r>
      <w:r w:rsidR="00A9680E">
        <w:rPr>
          <w:rFonts w:asciiTheme="majorBidi" w:hAnsiTheme="majorBidi" w:cstheme="majorBidi"/>
          <w:sz w:val="24"/>
          <w:szCs w:val="24"/>
        </w:rPr>
        <w:t xml:space="preserve"> </w:t>
      </w:r>
      <w:r w:rsidRPr="006755FE">
        <w:rPr>
          <w:rFonts w:asciiTheme="majorBidi" w:hAnsiTheme="majorBidi" w:cstheme="majorBidi"/>
          <w:sz w:val="24"/>
          <w:szCs w:val="24"/>
        </w:rPr>
        <w:t xml:space="preserve">who evinced evoke in the immunostaining for PCNA after FU exposure in hepatic tissues of rats, also in </w:t>
      </w:r>
      <w:r w:rsidR="002D74BB">
        <w:rPr>
          <w:rFonts w:asciiTheme="majorBidi" w:hAnsiTheme="majorBidi" w:cstheme="majorBidi"/>
          <w:sz w:val="24"/>
          <w:szCs w:val="24"/>
        </w:rPr>
        <w:t>an</w:t>
      </w:r>
      <w:r w:rsidRPr="006755FE">
        <w:rPr>
          <w:rFonts w:asciiTheme="majorBidi" w:hAnsiTheme="majorBidi" w:cstheme="majorBidi"/>
          <w:sz w:val="24"/>
          <w:szCs w:val="24"/>
        </w:rPr>
        <w:t xml:space="preserve">other study done by </w:t>
      </w:r>
      <w:r w:rsidR="00C35DBF" w:rsidRPr="006755FE">
        <w:rPr>
          <w:rFonts w:asciiTheme="majorBidi" w:hAnsiTheme="majorBidi" w:cstheme="majorBidi"/>
          <w:b/>
          <w:bCs/>
          <w:sz w:val="24"/>
          <w:szCs w:val="24"/>
        </w:rPr>
        <w:fldChar w:fldCharType="begin" w:fldLock="1"/>
      </w:r>
      <w:r w:rsidR="00C35DBF" w:rsidRPr="006755FE">
        <w:rPr>
          <w:rFonts w:asciiTheme="majorBidi" w:hAnsiTheme="majorBidi" w:cstheme="majorBidi"/>
          <w:b/>
          <w:bCs/>
          <w:sz w:val="24"/>
          <w:szCs w:val="24"/>
        </w:rPr>
        <w:instrText>ADDIN CSL_CITATION {"citationItems":[{"id":"ITEM-1","itemData":{"DOI":"10.1177/0748233707081907","ISBN":"0748233707081","ISSN":"07482337","PMID":"18536491","abstract":"Cadmium (Cd), a widely distributed toxic trace metal, has been shown to accumulate in liver after long- and short-term exposure. Cd (2mg/kg/day CdCl2) was intraperitoneally given to rats for eight days. Vitamin C (250mg/kg/day) + vitamin E (250mg/kg/day) + sodium selenate (0.25 mg/kg/day) were given to rats by oral means. The animals were treated by anti-oxidants one hour prior to treatment with Cd every day. The degenerative changes were observed in the groups given only Cd and anti-oxidants + Cd. Metallothionein (MT) immunoreactivity increased in cytoplasm of hepatocytes of the rats given Cd when compared with controls. In a number of cells with Cd and anti-oxidants treatment, immunoreactivity increase was more than in the group given Cd only and nuclear MT expression was also detected. Cell proliferation was assessed with proliferating cell nuclear antigen (PCNA) immunohistochemistry. PCNA expressions increased in all groups more than in the controls. Anti-oxidants treatment increased cell proliferation. In the animals administered with Cd, an increase in serum aspartate (AST) and alanine (ALT) aminotransferases, liver glutathione (GSH) and lipid peroxidation (LPO) levels were observed. On the other hand, in the rats treated with anti-oxidants and Cd, serum AST and ALT, liver glutathione and LPO levels decreased. As a result, these results suggest that combined anti-oxidants treatment might be useful in protection of liver against Cd toxicity. Toxicology and Industrial Health 2007; 23: 393—401. © 2007, Sage Publications. All rights reserved.","author":[{"dropping-particle":"","family":"Koyuturk","given":"Meral","non-dropping-particle":"","parse-names":false,"suffix":""},{"dropping-particle":"","family":"Yanardag","given":"Refiye","non-dropping-particle":"","parse-names":false,"suffix":""},{"dropping-particle":"","family":"Bolkent","given":"Sehnaz","non-dropping-particle":"","parse-names":false,"suffix":""},{"dropping-particle":"","family":"Tunali","given":"Sevim","non-dropping-particle":"","parse-names":false,"suffix":""}],"container-title":"Toxicology and Industrial Health","id":"ITEM-1","issue":"7","issued":{"date-parts":[["2007"]]},"page":"393-401","title":"The potential role of combined anti-oxidants against cadmium toxicity on liver of rats","type":"article-journal","volume":"23"},"uris":["http://www.mendeley.com/documents/?uuid=dd706917-c066-4683-8f38-cfbf47da3717"]}],"mendeley":{"formattedCitation":"(Koyuturk et al., 2007)","manualFormatting":"Koyuturk et al. (2007)","plainTextFormattedCitation":"(Koyuturk et al., 2007)","previouslyFormattedCitation":"(Koyuturk et al., 2007)"},"properties":{"noteIndex":0},"schema":"https://github.com/citation-style-language/schema/raw/master/csl-citation.json"}</w:instrText>
      </w:r>
      <w:r w:rsidR="00C35DBF" w:rsidRPr="006755FE">
        <w:rPr>
          <w:rFonts w:asciiTheme="majorBidi" w:hAnsiTheme="majorBidi" w:cstheme="majorBidi"/>
          <w:b/>
          <w:bCs/>
          <w:sz w:val="24"/>
          <w:szCs w:val="24"/>
        </w:rPr>
        <w:fldChar w:fldCharType="separate"/>
      </w:r>
      <w:r w:rsidR="00C35DBF" w:rsidRPr="006755FE">
        <w:rPr>
          <w:rFonts w:asciiTheme="majorBidi" w:hAnsiTheme="majorBidi" w:cstheme="majorBidi"/>
          <w:b/>
          <w:bCs/>
          <w:noProof/>
          <w:sz w:val="24"/>
          <w:szCs w:val="24"/>
        </w:rPr>
        <w:t xml:space="preserve">Koyuturk </w:t>
      </w:r>
      <w:r w:rsidR="00C35DBF" w:rsidRPr="00756FFE">
        <w:rPr>
          <w:rFonts w:asciiTheme="majorBidi" w:hAnsiTheme="majorBidi" w:cstheme="majorBidi"/>
          <w:b/>
          <w:bCs/>
          <w:i/>
          <w:iCs/>
          <w:noProof/>
          <w:sz w:val="24"/>
          <w:szCs w:val="24"/>
        </w:rPr>
        <w:t>et al</w:t>
      </w:r>
      <w:r w:rsidR="00C35DBF" w:rsidRPr="006755FE">
        <w:rPr>
          <w:rFonts w:asciiTheme="majorBidi" w:hAnsiTheme="majorBidi" w:cstheme="majorBidi"/>
          <w:b/>
          <w:bCs/>
          <w:noProof/>
          <w:sz w:val="24"/>
          <w:szCs w:val="24"/>
        </w:rPr>
        <w:t>. (2007)</w:t>
      </w:r>
      <w:r w:rsidR="00C35DBF" w:rsidRPr="006755FE">
        <w:rPr>
          <w:rFonts w:asciiTheme="majorBidi" w:hAnsiTheme="majorBidi" w:cstheme="majorBidi"/>
          <w:b/>
          <w:bCs/>
          <w:sz w:val="24"/>
          <w:szCs w:val="24"/>
        </w:rPr>
        <w:fldChar w:fldCharType="end"/>
      </w:r>
      <w:r w:rsidRPr="006755FE">
        <w:rPr>
          <w:rFonts w:asciiTheme="majorBidi" w:hAnsiTheme="majorBidi" w:cstheme="majorBidi"/>
          <w:sz w:val="24"/>
          <w:szCs w:val="24"/>
        </w:rPr>
        <w:t xml:space="preserve"> who demonstrated Cd caused significant upregulation of PCNA protein expression in liver tissues of rats. This impact is thought to be caused by the generation of free radicals caused by FU and/or Cd, which accelerates the oxidation of DNA in hepatic cells.</w:t>
      </w:r>
    </w:p>
    <w:p w14:paraId="6369C686" w14:textId="5BB28D74" w:rsidR="006755FE" w:rsidRPr="006755FE" w:rsidRDefault="006755FE" w:rsidP="002D74BB">
      <w:pPr>
        <w:bidi w:val="0"/>
        <w:spacing w:before="120" w:after="0" w:line="360" w:lineRule="auto"/>
        <w:rPr>
          <w:rFonts w:asciiTheme="majorBidi" w:hAnsiTheme="majorBidi" w:cstheme="majorBidi"/>
          <w:b/>
          <w:bCs/>
          <w:sz w:val="24"/>
          <w:szCs w:val="24"/>
        </w:rPr>
      </w:pPr>
      <w:r w:rsidRPr="006755FE">
        <w:rPr>
          <w:rFonts w:asciiTheme="majorBidi" w:hAnsiTheme="majorBidi" w:cstheme="majorBidi"/>
          <w:b/>
          <w:bCs/>
          <w:sz w:val="24"/>
          <w:szCs w:val="24"/>
        </w:rPr>
        <w:t>5.</w:t>
      </w:r>
      <w:r w:rsidR="002D74BB">
        <w:rPr>
          <w:rFonts w:asciiTheme="majorBidi" w:hAnsiTheme="majorBidi" w:cstheme="majorBidi"/>
          <w:b/>
          <w:bCs/>
          <w:sz w:val="24"/>
          <w:szCs w:val="24"/>
        </w:rPr>
        <w:t xml:space="preserve"> </w:t>
      </w:r>
      <w:r w:rsidRPr="006755FE">
        <w:rPr>
          <w:rFonts w:asciiTheme="majorBidi" w:hAnsiTheme="majorBidi" w:cstheme="majorBidi"/>
          <w:b/>
          <w:bCs/>
          <w:sz w:val="24"/>
          <w:szCs w:val="24"/>
        </w:rPr>
        <w:t>Conclusions</w:t>
      </w:r>
    </w:p>
    <w:p w14:paraId="6BF1F086" w14:textId="7DBEFF19" w:rsidR="006755FE" w:rsidRPr="002D74BB" w:rsidRDefault="006755FE" w:rsidP="002D74BB">
      <w:pPr>
        <w:bidi w:val="0"/>
        <w:spacing w:after="0" w:line="360" w:lineRule="auto"/>
        <w:ind w:right="29" w:firstLine="720"/>
        <w:jc w:val="both"/>
        <w:rPr>
          <w:rFonts w:asciiTheme="majorBidi" w:hAnsiTheme="majorBidi" w:cstheme="majorBidi"/>
          <w:b/>
          <w:bCs/>
          <w:color w:val="FF0000"/>
          <w:sz w:val="24"/>
          <w:szCs w:val="24"/>
        </w:rPr>
      </w:pPr>
      <w:r w:rsidRPr="006755FE">
        <w:rPr>
          <w:rFonts w:asciiTheme="majorBidi" w:hAnsiTheme="majorBidi" w:cstheme="majorBidi"/>
          <w:sz w:val="24"/>
          <w:szCs w:val="24"/>
        </w:rPr>
        <w:t xml:space="preserve">The results of this study indicate that the combined administration of FU and Cd had greater toxicities than their individual exposure. </w:t>
      </w:r>
      <w:r w:rsidR="00A9680E">
        <w:rPr>
          <w:rFonts w:asciiTheme="majorBidi" w:hAnsiTheme="majorBidi" w:cstheme="majorBidi"/>
          <w:sz w:val="24"/>
          <w:szCs w:val="24"/>
        </w:rPr>
        <w:t>O</w:t>
      </w:r>
      <w:r w:rsidRPr="006755FE">
        <w:rPr>
          <w:rFonts w:asciiTheme="majorBidi" w:hAnsiTheme="majorBidi" w:cstheme="majorBidi"/>
          <w:sz w:val="24"/>
          <w:szCs w:val="24"/>
        </w:rPr>
        <w:t>xidative stress</w:t>
      </w:r>
      <w:r w:rsidR="00F50C90">
        <w:rPr>
          <w:rFonts w:asciiTheme="majorBidi" w:hAnsiTheme="majorBidi" w:cstheme="majorBidi"/>
          <w:sz w:val="24"/>
          <w:szCs w:val="24"/>
        </w:rPr>
        <w:t xml:space="preserve"> caused by </w:t>
      </w:r>
      <w:r w:rsidR="00F50C90" w:rsidRPr="00F50C90">
        <w:rPr>
          <w:rFonts w:asciiTheme="majorBidi" w:hAnsiTheme="majorBidi" w:cstheme="majorBidi"/>
          <w:sz w:val="24"/>
          <w:szCs w:val="24"/>
        </w:rPr>
        <w:t xml:space="preserve">increased production of </w:t>
      </w:r>
      <w:r w:rsidR="00A9680E">
        <w:rPr>
          <w:rFonts w:asciiTheme="majorBidi" w:hAnsiTheme="majorBidi" w:cstheme="majorBidi"/>
          <w:sz w:val="24"/>
          <w:szCs w:val="24"/>
        </w:rPr>
        <w:t>ROS</w:t>
      </w:r>
      <w:r w:rsidR="00F50C90" w:rsidRPr="00F50C90">
        <w:rPr>
          <w:rFonts w:asciiTheme="majorBidi" w:hAnsiTheme="majorBidi" w:cstheme="majorBidi"/>
          <w:sz w:val="24"/>
          <w:szCs w:val="24"/>
        </w:rPr>
        <w:t xml:space="preserve"> and </w:t>
      </w:r>
      <w:r w:rsidR="00A9680E">
        <w:rPr>
          <w:rFonts w:asciiTheme="majorBidi" w:hAnsiTheme="majorBidi" w:cstheme="majorBidi"/>
          <w:sz w:val="24"/>
          <w:szCs w:val="24"/>
        </w:rPr>
        <w:t>MDA</w:t>
      </w:r>
      <w:r w:rsidR="00F50C90" w:rsidRPr="00F50C90">
        <w:rPr>
          <w:rFonts w:asciiTheme="majorBidi" w:hAnsiTheme="majorBidi" w:cstheme="majorBidi"/>
          <w:sz w:val="24"/>
          <w:szCs w:val="24"/>
        </w:rPr>
        <w:t>, as well as the depletion of endogenous antioxidant components</w:t>
      </w:r>
      <w:r w:rsidRPr="006755FE">
        <w:rPr>
          <w:rFonts w:asciiTheme="majorBidi" w:hAnsiTheme="majorBidi" w:cstheme="majorBidi"/>
          <w:sz w:val="24"/>
          <w:szCs w:val="24"/>
        </w:rPr>
        <w:t xml:space="preserve"> </w:t>
      </w:r>
      <w:r w:rsidR="00F50C90">
        <w:rPr>
          <w:rFonts w:asciiTheme="majorBidi" w:hAnsiTheme="majorBidi" w:cstheme="majorBidi"/>
          <w:sz w:val="24"/>
          <w:szCs w:val="24"/>
        </w:rPr>
        <w:t>along with</w:t>
      </w:r>
      <w:r w:rsidRPr="006755FE">
        <w:rPr>
          <w:rFonts w:asciiTheme="majorBidi" w:hAnsiTheme="majorBidi" w:cstheme="majorBidi"/>
          <w:sz w:val="24"/>
          <w:szCs w:val="24"/>
        </w:rPr>
        <w:t xml:space="preserve"> inflammatory damage</w:t>
      </w:r>
      <w:r w:rsidR="00F50C90">
        <w:rPr>
          <w:rFonts w:asciiTheme="majorBidi" w:hAnsiTheme="majorBidi" w:cstheme="majorBidi"/>
          <w:sz w:val="24"/>
          <w:szCs w:val="24"/>
        </w:rPr>
        <w:t xml:space="preserve"> occur in liver tissue</w:t>
      </w:r>
      <w:r w:rsidRPr="006755FE">
        <w:rPr>
          <w:rFonts w:asciiTheme="majorBidi" w:hAnsiTheme="majorBidi" w:cstheme="majorBidi"/>
          <w:sz w:val="24"/>
          <w:szCs w:val="24"/>
        </w:rPr>
        <w:t xml:space="preserve"> were the primary mechanisms attributed to this potentiated toxicity.  </w:t>
      </w:r>
    </w:p>
    <w:p w14:paraId="4EB6CE01" w14:textId="25CC452A" w:rsidR="00966110" w:rsidRDefault="00966110" w:rsidP="002D74BB">
      <w:pPr>
        <w:bidi w:val="0"/>
        <w:spacing w:before="120" w:after="0" w:line="360" w:lineRule="auto"/>
        <w:rPr>
          <w:rFonts w:asciiTheme="majorBidi" w:hAnsiTheme="majorBidi" w:cstheme="majorBidi"/>
          <w:sz w:val="24"/>
          <w:szCs w:val="24"/>
        </w:rPr>
      </w:pPr>
      <w:r w:rsidRPr="00966110">
        <w:rPr>
          <w:rFonts w:asciiTheme="majorBidi" w:hAnsiTheme="majorBidi" w:cstheme="majorBidi"/>
          <w:b/>
          <w:bCs/>
          <w:sz w:val="24"/>
          <w:szCs w:val="24"/>
        </w:rPr>
        <w:t>Acknowledgment</w:t>
      </w:r>
      <w:r w:rsidR="002D74BB">
        <w:rPr>
          <w:rFonts w:asciiTheme="majorBidi" w:hAnsiTheme="majorBidi" w:cstheme="majorBidi"/>
          <w:b/>
          <w:bCs/>
          <w:sz w:val="24"/>
          <w:szCs w:val="24"/>
        </w:rPr>
        <w:t>s</w:t>
      </w:r>
    </w:p>
    <w:p w14:paraId="4820C25E" w14:textId="7C79C546" w:rsidR="00966110" w:rsidRDefault="00966110" w:rsidP="002D74BB">
      <w:pPr>
        <w:bidi w:val="0"/>
        <w:spacing w:after="0" w:line="360" w:lineRule="auto"/>
        <w:ind w:right="29"/>
        <w:jc w:val="both"/>
        <w:rPr>
          <w:rFonts w:asciiTheme="majorBidi" w:hAnsiTheme="majorBidi" w:cstheme="majorBidi"/>
          <w:sz w:val="24"/>
          <w:szCs w:val="24"/>
        </w:rPr>
      </w:pPr>
      <w:r w:rsidRPr="00966110">
        <w:rPr>
          <w:rFonts w:asciiTheme="majorBidi" w:hAnsiTheme="majorBidi" w:cstheme="majorBidi"/>
          <w:sz w:val="24"/>
          <w:szCs w:val="24"/>
        </w:rPr>
        <w:t xml:space="preserve">The authors deeply thank the </w:t>
      </w:r>
      <w:r w:rsidR="00DA13E3">
        <w:rPr>
          <w:rFonts w:asciiTheme="majorBidi" w:hAnsiTheme="majorBidi" w:cstheme="majorBidi"/>
          <w:sz w:val="24"/>
          <w:szCs w:val="24"/>
        </w:rPr>
        <w:t xml:space="preserve">Center of Excellence in Screening of Environmental Contaminants (CESEC), </w:t>
      </w:r>
      <w:r w:rsidRPr="00966110">
        <w:rPr>
          <w:rFonts w:asciiTheme="majorBidi" w:hAnsiTheme="majorBidi" w:cstheme="majorBidi"/>
          <w:sz w:val="24"/>
          <w:szCs w:val="24"/>
        </w:rPr>
        <w:t xml:space="preserve">Department of Forensic Medicine and Toxicology, </w:t>
      </w:r>
      <w:proofErr w:type="spellStart"/>
      <w:r w:rsidRPr="00966110">
        <w:rPr>
          <w:rFonts w:asciiTheme="majorBidi" w:hAnsiTheme="majorBidi" w:cstheme="majorBidi"/>
          <w:sz w:val="24"/>
          <w:szCs w:val="24"/>
        </w:rPr>
        <w:t>Benha</w:t>
      </w:r>
      <w:proofErr w:type="spellEnd"/>
      <w:r w:rsidRPr="00966110">
        <w:rPr>
          <w:rFonts w:asciiTheme="majorBidi" w:hAnsiTheme="majorBidi" w:cstheme="majorBidi"/>
          <w:sz w:val="24"/>
          <w:szCs w:val="24"/>
        </w:rPr>
        <w:t xml:space="preserve"> University, Egypt for all </w:t>
      </w:r>
      <w:r w:rsidR="002D74BB">
        <w:rPr>
          <w:rFonts w:asciiTheme="majorBidi" w:hAnsiTheme="majorBidi" w:cstheme="majorBidi"/>
          <w:sz w:val="24"/>
          <w:szCs w:val="24"/>
        </w:rPr>
        <w:t xml:space="preserve">the </w:t>
      </w:r>
      <w:r w:rsidRPr="00966110">
        <w:rPr>
          <w:rFonts w:asciiTheme="majorBidi" w:hAnsiTheme="majorBidi" w:cstheme="majorBidi"/>
          <w:sz w:val="24"/>
          <w:szCs w:val="24"/>
        </w:rPr>
        <w:t xml:space="preserve">facilities provided </w:t>
      </w:r>
      <w:r w:rsidR="00DA13E3">
        <w:rPr>
          <w:rFonts w:asciiTheme="majorBidi" w:hAnsiTheme="majorBidi" w:cstheme="majorBidi"/>
          <w:sz w:val="24"/>
          <w:szCs w:val="24"/>
        </w:rPr>
        <w:t>for implementing this work</w:t>
      </w:r>
      <w:r w:rsidRPr="00966110">
        <w:rPr>
          <w:rFonts w:asciiTheme="majorBidi" w:hAnsiTheme="majorBidi" w:cstheme="majorBidi"/>
          <w:sz w:val="24"/>
          <w:szCs w:val="24"/>
        </w:rPr>
        <w:t>.</w:t>
      </w:r>
    </w:p>
    <w:p w14:paraId="07C9A6C2" w14:textId="77777777" w:rsidR="00966110" w:rsidRDefault="00966110" w:rsidP="002D74BB">
      <w:pPr>
        <w:bidi w:val="0"/>
        <w:spacing w:before="120" w:after="0" w:line="360" w:lineRule="auto"/>
        <w:rPr>
          <w:rFonts w:asciiTheme="majorBidi" w:hAnsiTheme="majorBidi" w:cstheme="majorBidi"/>
          <w:sz w:val="24"/>
          <w:szCs w:val="24"/>
        </w:rPr>
      </w:pPr>
      <w:r w:rsidRPr="00966110">
        <w:rPr>
          <w:rFonts w:asciiTheme="majorBidi" w:hAnsiTheme="majorBidi" w:cstheme="majorBidi"/>
          <w:b/>
          <w:bCs/>
          <w:sz w:val="24"/>
          <w:szCs w:val="24"/>
        </w:rPr>
        <w:t>Conflict of interest</w:t>
      </w:r>
      <w:r w:rsidRPr="00966110">
        <w:rPr>
          <w:rFonts w:asciiTheme="majorBidi" w:hAnsiTheme="majorBidi" w:cstheme="majorBidi"/>
          <w:sz w:val="24"/>
          <w:szCs w:val="24"/>
        </w:rPr>
        <w:t xml:space="preserve"> </w:t>
      </w:r>
    </w:p>
    <w:p w14:paraId="17A07C8B" w14:textId="0B08D31D" w:rsidR="00966110" w:rsidRDefault="00966110" w:rsidP="00DA13E3">
      <w:pPr>
        <w:bidi w:val="0"/>
        <w:spacing w:after="0" w:line="360" w:lineRule="auto"/>
        <w:ind w:right="29"/>
        <w:jc w:val="both"/>
        <w:rPr>
          <w:rFonts w:asciiTheme="majorBidi" w:hAnsiTheme="majorBidi" w:cstheme="majorBidi"/>
          <w:sz w:val="24"/>
          <w:szCs w:val="24"/>
        </w:rPr>
      </w:pPr>
      <w:r w:rsidRPr="00966110">
        <w:rPr>
          <w:rFonts w:asciiTheme="majorBidi" w:hAnsiTheme="majorBidi" w:cstheme="majorBidi"/>
          <w:sz w:val="24"/>
          <w:szCs w:val="24"/>
        </w:rPr>
        <w:t>The authors declare that they have no conflict of interest.</w:t>
      </w:r>
    </w:p>
    <w:p w14:paraId="73DDB603" w14:textId="77777777" w:rsidR="00814B7C" w:rsidRPr="00966110" w:rsidRDefault="00814B7C" w:rsidP="00814B7C">
      <w:pPr>
        <w:bidi w:val="0"/>
        <w:spacing w:after="0" w:line="360" w:lineRule="auto"/>
        <w:ind w:right="29"/>
        <w:jc w:val="both"/>
        <w:rPr>
          <w:rFonts w:asciiTheme="majorBidi" w:hAnsiTheme="majorBidi" w:cstheme="majorBidi"/>
          <w:sz w:val="24"/>
          <w:szCs w:val="24"/>
        </w:rPr>
      </w:pPr>
    </w:p>
    <w:p w14:paraId="3BA52975" w14:textId="77777777" w:rsidR="006755FE" w:rsidRPr="00D017C8" w:rsidRDefault="006755FE" w:rsidP="00DA13E3">
      <w:pPr>
        <w:bidi w:val="0"/>
        <w:spacing w:before="120" w:after="0" w:line="360" w:lineRule="auto"/>
        <w:rPr>
          <w:rFonts w:ascii="Times New Roman" w:hAnsi="Times New Roman" w:cs="Times New Roman"/>
          <w:b/>
          <w:bCs/>
          <w:sz w:val="24"/>
          <w:szCs w:val="24"/>
        </w:rPr>
      </w:pPr>
      <w:r w:rsidRPr="006755FE">
        <w:rPr>
          <w:rFonts w:asciiTheme="majorBidi" w:hAnsiTheme="majorBidi" w:cstheme="majorBidi"/>
          <w:b/>
          <w:bCs/>
          <w:sz w:val="24"/>
          <w:szCs w:val="24"/>
        </w:rPr>
        <w:lastRenderedPageBreak/>
        <w:t>Reference:</w:t>
      </w:r>
    </w:p>
    <w:bookmarkStart w:id="11" w:name="_Hlk152109786"/>
    <w:p w14:paraId="25A66B30" w14:textId="23DB16E9" w:rsidR="00F03936" w:rsidRPr="00F03936" w:rsidRDefault="00D35765"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D017C8">
        <w:rPr>
          <w:rFonts w:ascii="Times New Roman" w:hAnsi="Times New Roman" w:cs="Times New Roman"/>
          <w:b/>
          <w:bCs/>
          <w:sz w:val="24"/>
          <w:szCs w:val="24"/>
        </w:rPr>
        <w:fldChar w:fldCharType="begin" w:fldLock="1"/>
      </w:r>
      <w:r w:rsidRPr="00D017C8">
        <w:rPr>
          <w:rFonts w:ascii="Times New Roman" w:hAnsi="Times New Roman" w:cs="Times New Roman"/>
          <w:b/>
          <w:bCs/>
          <w:sz w:val="24"/>
          <w:szCs w:val="24"/>
        </w:rPr>
        <w:instrText xml:space="preserve">ADDIN Mendeley Bibliography CSL_BIBLIOGRAPHY </w:instrText>
      </w:r>
      <w:r w:rsidRPr="00D017C8">
        <w:rPr>
          <w:rFonts w:ascii="Times New Roman" w:hAnsi="Times New Roman" w:cs="Times New Roman"/>
          <w:b/>
          <w:bCs/>
          <w:sz w:val="24"/>
          <w:szCs w:val="24"/>
        </w:rPr>
        <w:fldChar w:fldCharType="separate"/>
      </w:r>
      <w:r w:rsidR="00F03936" w:rsidRPr="00F03936">
        <w:rPr>
          <w:rFonts w:ascii="Times New Roman" w:hAnsi="Times New Roman" w:cs="Times New Roman"/>
          <w:noProof/>
          <w:kern w:val="0"/>
          <w:sz w:val="24"/>
          <w:szCs w:val="24"/>
        </w:rPr>
        <w:t xml:space="preserve">Abdeen, A., Abou-Zaid, O. A., </w:t>
      </w:r>
      <w:r w:rsidR="00F03936" w:rsidRPr="00F03936">
        <w:rPr>
          <w:rFonts w:ascii="Times New Roman" w:hAnsi="Times New Roman" w:cs="Times New Roman"/>
          <w:i/>
          <w:iCs/>
          <w:noProof/>
          <w:kern w:val="0"/>
          <w:sz w:val="24"/>
          <w:szCs w:val="24"/>
        </w:rPr>
        <w:t>et al.</w:t>
      </w:r>
      <w:r w:rsidR="00F03936" w:rsidRPr="00F03936">
        <w:rPr>
          <w:rFonts w:ascii="Times New Roman" w:hAnsi="Times New Roman" w:cs="Times New Roman"/>
          <w:noProof/>
          <w:kern w:val="0"/>
          <w:sz w:val="24"/>
          <w:szCs w:val="24"/>
        </w:rPr>
        <w:t xml:space="preserve"> (2019</w:t>
      </w:r>
      <w:r w:rsidR="00814B7C">
        <w:rPr>
          <w:rFonts w:ascii="Times New Roman" w:hAnsi="Times New Roman" w:cs="Times New Roman"/>
          <w:noProof/>
          <w:kern w:val="0"/>
          <w:sz w:val="24"/>
          <w:szCs w:val="24"/>
        </w:rPr>
        <w:t>a</w:t>
      </w:r>
      <w:r w:rsidR="00F03936" w:rsidRPr="00F03936">
        <w:rPr>
          <w:rFonts w:ascii="Times New Roman" w:hAnsi="Times New Roman" w:cs="Times New Roman"/>
          <w:noProof/>
          <w:kern w:val="0"/>
          <w:sz w:val="24"/>
          <w:szCs w:val="24"/>
        </w:rPr>
        <w:t xml:space="preserve">) ‘Cadmium overload modulates piroxicam-regulated </w:t>
      </w:r>
      <w:r w:rsidR="009002C8">
        <w:rPr>
          <w:rFonts w:ascii="Times New Roman" w:hAnsi="Times New Roman" w:cs="Times New Roman"/>
          <w:noProof/>
          <w:kern w:val="0"/>
          <w:sz w:val="24"/>
          <w:szCs w:val="24"/>
        </w:rPr>
        <w:t xml:space="preserve">  </w:t>
      </w:r>
      <w:r w:rsidR="00F03936" w:rsidRPr="00F03936">
        <w:rPr>
          <w:rFonts w:ascii="Times New Roman" w:hAnsi="Times New Roman" w:cs="Times New Roman"/>
          <w:noProof/>
          <w:kern w:val="0"/>
          <w:sz w:val="24"/>
          <w:szCs w:val="24"/>
        </w:rPr>
        <w:t xml:space="preserve">oxidative damage and apoptotic pathways’, </w:t>
      </w:r>
      <w:r w:rsidR="00F03936" w:rsidRPr="00F03936">
        <w:rPr>
          <w:rFonts w:ascii="Times New Roman" w:hAnsi="Times New Roman" w:cs="Times New Roman"/>
          <w:i/>
          <w:iCs/>
          <w:noProof/>
          <w:kern w:val="0"/>
          <w:sz w:val="24"/>
          <w:szCs w:val="24"/>
        </w:rPr>
        <w:t>Environmental Science and Pollution Research</w:t>
      </w:r>
      <w:r w:rsidR="00F03936" w:rsidRPr="00F03936">
        <w:rPr>
          <w:rFonts w:ascii="Times New Roman" w:hAnsi="Times New Roman" w:cs="Times New Roman"/>
          <w:noProof/>
          <w:kern w:val="0"/>
          <w:sz w:val="24"/>
          <w:szCs w:val="24"/>
        </w:rPr>
        <w:t>, 26(24), pp. 25167–25177. doi: 10.1007/s11356-019-05783-x.</w:t>
      </w:r>
    </w:p>
    <w:p w14:paraId="7C6AD571" w14:textId="1B861794"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756FFE">
        <w:rPr>
          <w:rFonts w:ascii="Times New Roman" w:hAnsi="Times New Roman" w:cs="Times New Roman"/>
          <w:noProof/>
          <w:kern w:val="0"/>
          <w:sz w:val="24"/>
          <w:szCs w:val="24"/>
          <w:lang w:val="fr-FR"/>
        </w:rPr>
        <w:t xml:space="preserve">Abdeen, A., Aboubakr, M.,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(2019</w:t>
      </w:r>
      <w:r w:rsidR="00814B7C">
        <w:rPr>
          <w:rFonts w:ascii="Times New Roman" w:hAnsi="Times New Roman" w:cs="Times New Roman"/>
          <w:noProof/>
          <w:kern w:val="0"/>
          <w:sz w:val="24"/>
          <w:szCs w:val="24"/>
        </w:rPr>
        <w:t>b</w:t>
      </w:r>
      <w:r w:rsidRPr="00F03936">
        <w:rPr>
          <w:rFonts w:ascii="Times New Roman" w:hAnsi="Times New Roman" w:cs="Times New Roman"/>
          <w:noProof/>
          <w:kern w:val="0"/>
          <w:sz w:val="24"/>
          <w:szCs w:val="24"/>
        </w:rPr>
        <w:t xml:space="preserve">) ‘Rosuvastatin attenuates piroxicam-mediated gastric ulceration and hepato-renal toxicity in rats’, </w:t>
      </w:r>
      <w:r w:rsidRPr="00F03936">
        <w:rPr>
          <w:rFonts w:ascii="Times New Roman" w:hAnsi="Times New Roman" w:cs="Times New Roman"/>
          <w:i/>
          <w:iCs/>
          <w:noProof/>
          <w:kern w:val="0"/>
          <w:sz w:val="24"/>
          <w:szCs w:val="24"/>
        </w:rPr>
        <w:t>Biomedicine and Pharmacotherapy</w:t>
      </w:r>
      <w:r w:rsidRPr="00F03936">
        <w:rPr>
          <w:rFonts w:ascii="Times New Roman" w:hAnsi="Times New Roman" w:cs="Times New Roman"/>
          <w:noProof/>
          <w:kern w:val="0"/>
          <w:sz w:val="24"/>
          <w:szCs w:val="24"/>
        </w:rPr>
        <w:t>, 110(November 2018), pp. 895–905. doi: 10.1016/j.biopha.2018.11.004.</w:t>
      </w:r>
    </w:p>
    <w:p w14:paraId="298B5B6B"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756FFE">
        <w:rPr>
          <w:rFonts w:ascii="Times New Roman" w:hAnsi="Times New Roman" w:cs="Times New Roman"/>
          <w:noProof/>
          <w:kern w:val="0"/>
          <w:sz w:val="24"/>
          <w:szCs w:val="24"/>
          <w:lang w:val="fr-FR"/>
        </w:rPr>
        <w:t xml:space="preserve">Abdel-Daim, M. M.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 xml:space="preserve">(2021) ‘Fucoidan supplementation modulates hepato-renal oxidative stress and DNA damage induced by aflatoxin B1 intoxication in rats’, </w:t>
      </w:r>
      <w:r w:rsidRPr="00F03936">
        <w:rPr>
          <w:rFonts w:ascii="Times New Roman" w:hAnsi="Times New Roman" w:cs="Times New Roman"/>
          <w:i/>
          <w:iCs/>
          <w:noProof/>
          <w:kern w:val="0"/>
          <w:sz w:val="24"/>
          <w:szCs w:val="24"/>
        </w:rPr>
        <w:t>Science of the Total Environment</w:t>
      </w:r>
      <w:r w:rsidRPr="00F03936">
        <w:rPr>
          <w:rFonts w:ascii="Times New Roman" w:hAnsi="Times New Roman" w:cs="Times New Roman"/>
          <w:noProof/>
          <w:kern w:val="0"/>
          <w:sz w:val="24"/>
          <w:szCs w:val="24"/>
        </w:rPr>
        <w:t>, 768, p. 144781. Available at: https://doi.org/10.1016/j.scitotenv.2020.144781.</w:t>
      </w:r>
    </w:p>
    <w:p w14:paraId="623EEC04"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Abdel-Daim, M. M. and Abdeen, A. (2018) ‘Protective effects of rosuvastatin and vitamin E against fipronil-mediated oxidative damage and apoptosis in rat liver and kidney’, </w:t>
      </w:r>
      <w:r w:rsidRPr="00F03936">
        <w:rPr>
          <w:rFonts w:ascii="Times New Roman" w:hAnsi="Times New Roman" w:cs="Times New Roman"/>
          <w:i/>
          <w:iCs/>
          <w:noProof/>
          <w:kern w:val="0"/>
          <w:sz w:val="24"/>
          <w:szCs w:val="24"/>
        </w:rPr>
        <w:t>Food and Chemical Toxicology</w:t>
      </w:r>
      <w:r w:rsidRPr="00F03936">
        <w:rPr>
          <w:rFonts w:ascii="Times New Roman" w:hAnsi="Times New Roman" w:cs="Times New Roman"/>
          <w:noProof/>
          <w:kern w:val="0"/>
          <w:sz w:val="24"/>
          <w:szCs w:val="24"/>
        </w:rPr>
        <w:t>, 114, pp. 69–77. doi: 10.1016/j.fct.2018.01.055.</w:t>
      </w:r>
    </w:p>
    <w:p w14:paraId="22F12E9F"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Alizadeh, M. </w:t>
      </w:r>
      <w:r w:rsidRPr="00F03936">
        <w:rPr>
          <w:rFonts w:ascii="Times New Roman" w:hAnsi="Times New Roman" w:cs="Times New Roman"/>
          <w:i/>
          <w:iCs/>
          <w:noProof/>
          <w:kern w:val="0"/>
          <w:sz w:val="24"/>
          <w:szCs w:val="24"/>
        </w:rPr>
        <w:t>et al.</w:t>
      </w:r>
      <w:r w:rsidRPr="00F03936">
        <w:rPr>
          <w:rFonts w:ascii="Times New Roman" w:hAnsi="Times New Roman" w:cs="Times New Roman"/>
          <w:noProof/>
          <w:kern w:val="0"/>
          <w:sz w:val="24"/>
          <w:szCs w:val="24"/>
        </w:rPr>
        <w:t xml:space="preserve"> (2018) ‘Industrial furan and its biological effects on the body systems’, </w:t>
      </w:r>
      <w:r w:rsidRPr="00F03936">
        <w:rPr>
          <w:rFonts w:ascii="Times New Roman" w:hAnsi="Times New Roman" w:cs="Times New Roman"/>
          <w:i/>
          <w:iCs/>
          <w:noProof/>
          <w:kern w:val="0"/>
          <w:sz w:val="24"/>
          <w:szCs w:val="24"/>
        </w:rPr>
        <w:t>Journal of Food Biochemistry</w:t>
      </w:r>
      <w:r w:rsidRPr="00F03936">
        <w:rPr>
          <w:rFonts w:ascii="Times New Roman" w:hAnsi="Times New Roman" w:cs="Times New Roman"/>
          <w:noProof/>
          <w:kern w:val="0"/>
          <w:sz w:val="24"/>
          <w:szCs w:val="24"/>
        </w:rPr>
        <w:t>, 42(5), pp. 1–13. doi: 10.1111/jfbc.12597.</w:t>
      </w:r>
    </w:p>
    <w:p w14:paraId="19964316" w14:textId="77777777" w:rsidR="00F03936" w:rsidRPr="00756FFE"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lang w:val="fr-FR"/>
        </w:rPr>
      </w:pPr>
      <w:r w:rsidRPr="00F03936">
        <w:rPr>
          <w:rFonts w:ascii="Times New Roman" w:hAnsi="Times New Roman" w:cs="Times New Roman"/>
          <w:noProof/>
          <w:kern w:val="0"/>
          <w:sz w:val="24"/>
          <w:szCs w:val="24"/>
        </w:rPr>
        <w:t xml:space="preserve">Amamou, F. </w:t>
      </w:r>
      <w:r w:rsidRPr="00F03936">
        <w:rPr>
          <w:rFonts w:ascii="Times New Roman" w:hAnsi="Times New Roman" w:cs="Times New Roman"/>
          <w:i/>
          <w:iCs/>
          <w:noProof/>
          <w:kern w:val="0"/>
          <w:sz w:val="24"/>
          <w:szCs w:val="24"/>
        </w:rPr>
        <w:t>et al.</w:t>
      </w:r>
      <w:r w:rsidRPr="00F03936">
        <w:rPr>
          <w:rFonts w:ascii="Times New Roman" w:hAnsi="Times New Roman" w:cs="Times New Roman"/>
          <w:noProof/>
          <w:kern w:val="0"/>
          <w:sz w:val="24"/>
          <w:szCs w:val="24"/>
        </w:rPr>
        <w:t xml:space="preserve"> (2015) ‘Protective effect of olive oil and colocynth oil against cadmium-induced oxidative stress in the liver of Wistar rats’, </w:t>
      </w:r>
      <w:r w:rsidRPr="00F03936">
        <w:rPr>
          <w:rFonts w:ascii="Times New Roman" w:hAnsi="Times New Roman" w:cs="Times New Roman"/>
          <w:i/>
          <w:iCs/>
          <w:noProof/>
          <w:kern w:val="0"/>
          <w:sz w:val="24"/>
          <w:szCs w:val="24"/>
        </w:rPr>
        <w:t>Food and Chemical Toxicology</w:t>
      </w:r>
      <w:r w:rsidRPr="00F03936">
        <w:rPr>
          <w:rFonts w:ascii="Times New Roman" w:hAnsi="Times New Roman" w:cs="Times New Roman"/>
          <w:noProof/>
          <w:kern w:val="0"/>
          <w:sz w:val="24"/>
          <w:szCs w:val="24"/>
        </w:rPr>
        <w:t xml:space="preserve">, 78, pp. 177–184. </w:t>
      </w:r>
      <w:r w:rsidRPr="00756FFE">
        <w:rPr>
          <w:rFonts w:ascii="Times New Roman" w:hAnsi="Times New Roman" w:cs="Times New Roman"/>
          <w:noProof/>
          <w:kern w:val="0"/>
          <w:sz w:val="24"/>
          <w:szCs w:val="24"/>
          <w:lang w:val="fr-FR"/>
        </w:rPr>
        <w:t>Available at: https://doi.org/10.1016/j.fct.2015.01.001.</w:t>
      </w:r>
    </w:p>
    <w:p w14:paraId="349854BF"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756FFE">
        <w:rPr>
          <w:rFonts w:ascii="Times New Roman" w:hAnsi="Times New Roman" w:cs="Times New Roman"/>
          <w:noProof/>
          <w:kern w:val="0"/>
          <w:sz w:val="24"/>
          <w:szCs w:val="24"/>
          <w:lang w:val="fr-FR"/>
        </w:rPr>
        <w:t xml:space="preserve">Awad, A.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 xml:space="preserve">(2018) ‘Differential susceptibility of kidneys and livers to proliferative processes and transcriptional level of the genes encoding desmin, vimentin, connexin 43, and nestin in rats exposed to furan’, </w:t>
      </w:r>
      <w:r w:rsidRPr="00F03936">
        <w:rPr>
          <w:rFonts w:ascii="Times New Roman" w:hAnsi="Times New Roman" w:cs="Times New Roman"/>
          <w:i/>
          <w:iCs/>
          <w:noProof/>
          <w:kern w:val="0"/>
          <w:sz w:val="24"/>
          <w:szCs w:val="24"/>
        </w:rPr>
        <w:t>Ecotoxicology and Environmental Safety</w:t>
      </w:r>
      <w:r w:rsidRPr="00F03936">
        <w:rPr>
          <w:rFonts w:ascii="Times New Roman" w:hAnsi="Times New Roman" w:cs="Times New Roman"/>
          <w:noProof/>
          <w:kern w:val="0"/>
          <w:sz w:val="24"/>
          <w:szCs w:val="24"/>
        </w:rPr>
        <w:t>, 162, pp. 235–244. Available at: https://doi.org/10.1016/j.ecoenv.2018.07.003.</w:t>
      </w:r>
    </w:p>
    <w:p w14:paraId="52F7EE3D" w14:textId="77777777" w:rsidR="00F03936" w:rsidRPr="00756FFE"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lang w:val="fr-FR"/>
        </w:rPr>
      </w:pPr>
      <w:r w:rsidRPr="00F03936">
        <w:rPr>
          <w:rFonts w:ascii="Times New Roman" w:hAnsi="Times New Roman" w:cs="Times New Roman"/>
          <w:noProof/>
          <w:kern w:val="0"/>
          <w:sz w:val="24"/>
          <w:szCs w:val="24"/>
        </w:rPr>
        <w:t xml:space="preserve">Bao, R., Zheng, S. and Wang, X. (2017) ‘Selenium protects against cadmium-induced kidney apoptosis in chickens by activating the PI3K/AKT/Bcl-2 signaling pathway’, </w:t>
      </w:r>
      <w:r w:rsidRPr="00F03936">
        <w:rPr>
          <w:rFonts w:ascii="Times New Roman" w:hAnsi="Times New Roman" w:cs="Times New Roman"/>
          <w:i/>
          <w:iCs/>
          <w:noProof/>
          <w:kern w:val="0"/>
          <w:sz w:val="24"/>
          <w:szCs w:val="24"/>
        </w:rPr>
        <w:t>Environmental Science and Pollution Research</w:t>
      </w:r>
      <w:r w:rsidRPr="00F03936">
        <w:rPr>
          <w:rFonts w:ascii="Times New Roman" w:hAnsi="Times New Roman" w:cs="Times New Roman"/>
          <w:noProof/>
          <w:kern w:val="0"/>
          <w:sz w:val="24"/>
          <w:szCs w:val="24"/>
        </w:rPr>
        <w:t xml:space="preserve">, 24, pp. 20342–20353. </w:t>
      </w:r>
      <w:r w:rsidRPr="00756FFE">
        <w:rPr>
          <w:rFonts w:ascii="Times New Roman" w:hAnsi="Times New Roman" w:cs="Times New Roman"/>
          <w:noProof/>
          <w:kern w:val="0"/>
          <w:sz w:val="24"/>
          <w:szCs w:val="24"/>
          <w:lang w:val="fr-FR"/>
        </w:rPr>
        <w:t>Available at: https://doi.org/10.1007/s11356-017-9422-6.</w:t>
      </w:r>
    </w:p>
    <w:p w14:paraId="0C7B859C"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756FFE">
        <w:rPr>
          <w:rFonts w:ascii="Times New Roman" w:hAnsi="Times New Roman" w:cs="Times New Roman"/>
          <w:noProof/>
          <w:kern w:val="0"/>
          <w:sz w:val="24"/>
          <w:szCs w:val="24"/>
          <w:lang w:val="fr-FR"/>
        </w:rPr>
        <w:t xml:space="preserve">Batool, Z.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 xml:space="preserve">(2021) ‘A review on furan: Formation, analysis, occurrence, carcinogenicity, genotoxicity and reduction methods’, </w:t>
      </w:r>
      <w:r w:rsidRPr="00F03936">
        <w:rPr>
          <w:rFonts w:ascii="Times New Roman" w:hAnsi="Times New Roman" w:cs="Times New Roman"/>
          <w:i/>
          <w:iCs/>
          <w:noProof/>
          <w:kern w:val="0"/>
          <w:sz w:val="24"/>
          <w:szCs w:val="24"/>
        </w:rPr>
        <w:t>Critical Reviews in Food Science and Nutrition</w:t>
      </w:r>
      <w:r w:rsidRPr="00F03936">
        <w:rPr>
          <w:rFonts w:ascii="Times New Roman" w:hAnsi="Times New Roman" w:cs="Times New Roman"/>
          <w:noProof/>
          <w:kern w:val="0"/>
          <w:sz w:val="24"/>
          <w:szCs w:val="24"/>
        </w:rPr>
        <w:t>, 61(3), pp. 395–406. doi: 10.1080/10408398.2020.1734532.</w:t>
      </w:r>
    </w:p>
    <w:p w14:paraId="79C17747"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Dai, X. </w:t>
      </w:r>
      <w:r w:rsidRPr="00F03936">
        <w:rPr>
          <w:rFonts w:ascii="Times New Roman" w:hAnsi="Times New Roman" w:cs="Times New Roman"/>
          <w:i/>
          <w:iCs/>
          <w:noProof/>
          <w:kern w:val="0"/>
          <w:sz w:val="24"/>
          <w:szCs w:val="24"/>
        </w:rPr>
        <w:t>et al.</w:t>
      </w:r>
      <w:r w:rsidRPr="00F03936">
        <w:rPr>
          <w:rFonts w:ascii="Times New Roman" w:hAnsi="Times New Roman" w:cs="Times New Roman"/>
          <w:noProof/>
          <w:kern w:val="0"/>
          <w:sz w:val="24"/>
          <w:szCs w:val="24"/>
        </w:rPr>
        <w:t xml:space="preserve"> (2018) ‘Alterations of mitochondrial antioxidant indexes and apoptosis in duck livers </w:t>
      </w:r>
      <w:r w:rsidRPr="00F03936">
        <w:rPr>
          <w:rFonts w:ascii="Times New Roman" w:hAnsi="Times New Roman" w:cs="Times New Roman"/>
          <w:noProof/>
          <w:kern w:val="0"/>
          <w:sz w:val="24"/>
          <w:szCs w:val="24"/>
        </w:rPr>
        <w:lastRenderedPageBreak/>
        <w:t xml:space="preserve">caused by Molybdenum or/and cadmium’, </w:t>
      </w:r>
      <w:r w:rsidRPr="00F03936">
        <w:rPr>
          <w:rFonts w:ascii="Times New Roman" w:hAnsi="Times New Roman" w:cs="Times New Roman"/>
          <w:i/>
          <w:iCs/>
          <w:noProof/>
          <w:kern w:val="0"/>
          <w:sz w:val="24"/>
          <w:szCs w:val="24"/>
        </w:rPr>
        <w:t>Chemosphere</w:t>
      </w:r>
      <w:r w:rsidRPr="00F03936">
        <w:rPr>
          <w:rFonts w:ascii="Times New Roman" w:hAnsi="Times New Roman" w:cs="Times New Roman"/>
          <w:noProof/>
          <w:kern w:val="0"/>
          <w:sz w:val="24"/>
          <w:szCs w:val="24"/>
        </w:rPr>
        <w:t>, 193, pp. 574–580. doi: 10.1016/j.chemosphere.2017.11.063.</w:t>
      </w:r>
    </w:p>
    <w:p w14:paraId="0E09D52F"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Das, S. C. and Al-naemi, H. A. (2019) ‘Cadmium Toxicity : Oxidative Stress , Inflammation and Tissue Injury’, </w:t>
      </w:r>
      <w:r w:rsidRPr="00F03936">
        <w:rPr>
          <w:rFonts w:ascii="Times New Roman" w:hAnsi="Times New Roman" w:cs="Times New Roman"/>
          <w:i/>
          <w:iCs/>
          <w:noProof/>
          <w:kern w:val="0"/>
          <w:sz w:val="24"/>
          <w:szCs w:val="24"/>
        </w:rPr>
        <w:t>Occupational Diseases and Environmental Medicine</w:t>
      </w:r>
      <w:r w:rsidRPr="00F03936">
        <w:rPr>
          <w:rFonts w:ascii="Times New Roman" w:hAnsi="Times New Roman" w:cs="Times New Roman"/>
          <w:noProof/>
          <w:kern w:val="0"/>
          <w:sz w:val="24"/>
          <w:szCs w:val="24"/>
        </w:rPr>
        <w:t>, pp. 144–163. doi: 10.4236/odem.2019.74012.</w:t>
      </w:r>
    </w:p>
    <w:p w14:paraId="2A441F40"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756FFE">
        <w:rPr>
          <w:rFonts w:ascii="Times New Roman" w:hAnsi="Times New Roman" w:cs="Times New Roman"/>
          <w:noProof/>
          <w:kern w:val="0"/>
          <w:sz w:val="24"/>
          <w:szCs w:val="24"/>
          <w:lang w:val="fr-FR"/>
        </w:rPr>
        <w:t xml:space="preserve">Delost, M. D.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 xml:space="preserve">(2018) ‘From Oxiranes to Oligomers: Architectures of U.S. FDA Approved Pharmaceuticals Containing Oxygen Heterocycles’, </w:t>
      </w:r>
      <w:r w:rsidRPr="00F03936">
        <w:rPr>
          <w:rFonts w:ascii="Times New Roman" w:hAnsi="Times New Roman" w:cs="Times New Roman"/>
          <w:i/>
          <w:iCs/>
          <w:noProof/>
          <w:kern w:val="0"/>
          <w:sz w:val="24"/>
          <w:szCs w:val="24"/>
        </w:rPr>
        <w:t>Journal of Medicinal Chemistry</w:t>
      </w:r>
      <w:r w:rsidRPr="00F03936">
        <w:rPr>
          <w:rFonts w:ascii="Times New Roman" w:hAnsi="Times New Roman" w:cs="Times New Roman"/>
          <w:noProof/>
          <w:kern w:val="0"/>
          <w:sz w:val="24"/>
          <w:szCs w:val="24"/>
        </w:rPr>
        <w:t>, 61(24), pp. 10996–11020. doi: 10.1021/acs.jmedchem.8b00876.</w:t>
      </w:r>
    </w:p>
    <w:p w14:paraId="126FB66A" w14:textId="77777777" w:rsidR="00F03936" w:rsidRPr="00756FFE"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lang w:val="fr-FR"/>
        </w:rPr>
      </w:pPr>
      <w:r w:rsidRPr="00756FFE">
        <w:rPr>
          <w:rFonts w:ascii="Times New Roman" w:hAnsi="Times New Roman" w:cs="Times New Roman"/>
          <w:noProof/>
          <w:kern w:val="0"/>
          <w:sz w:val="24"/>
          <w:szCs w:val="24"/>
          <w:lang w:val="fr-FR"/>
        </w:rPr>
        <w:t xml:space="preserve">Elmallah, M. I. Y.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 xml:space="preserve">(2017) ‘Protective effect of Fragaria ananassa crude extract on cadmium-induced lipid peroxidation, antioxidant enzymes suppression, and apoptosis in rat testes’, </w:t>
      </w:r>
      <w:r w:rsidRPr="00F03936">
        <w:rPr>
          <w:rFonts w:ascii="Times New Roman" w:hAnsi="Times New Roman" w:cs="Times New Roman"/>
          <w:i/>
          <w:iCs/>
          <w:noProof/>
          <w:kern w:val="0"/>
          <w:sz w:val="24"/>
          <w:szCs w:val="24"/>
        </w:rPr>
        <w:t>International journal of molecular sciences</w:t>
      </w:r>
      <w:r w:rsidRPr="00F03936">
        <w:rPr>
          <w:rFonts w:ascii="Times New Roman" w:hAnsi="Times New Roman" w:cs="Times New Roman"/>
          <w:noProof/>
          <w:kern w:val="0"/>
          <w:sz w:val="24"/>
          <w:szCs w:val="24"/>
        </w:rPr>
        <w:t xml:space="preserve">, 18(5), p. 957. </w:t>
      </w:r>
      <w:r w:rsidRPr="00756FFE">
        <w:rPr>
          <w:rFonts w:ascii="Times New Roman" w:hAnsi="Times New Roman" w:cs="Times New Roman"/>
          <w:noProof/>
          <w:kern w:val="0"/>
          <w:sz w:val="24"/>
          <w:szCs w:val="24"/>
          <w:lang w:val="fr-FR"/>
        </w:rPr>
        <w:t>Available at: https://doi.org/10.3390/ijms18050957.</w:t>
      </w:r>
    </w:p>
    <w:p w14:paraId="62B5C404"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756FFE">
        <w:rPr>
          <w:rFonts w:ascii="Times New Roman" w:hAnsi="Times New Roman" w:cs="Times New Roman"/>
          <w:noProof/>
          <w:kern w:val="0"/>
          <w:sz w:val="24"/>
          <w:szCs w:val="24"/>
          <w:lang w:val="fr-FR"/>
        </w:rPr>
        <w:t xml:space="preserve">Gill, S.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 xml:space="preserve">(2022) ‘Proteomic Analysis of Subchronic Furan Exposure in the Liver of Male Fischer F344 Rats’, </w:t>
      </w:r>
      <w:r w:rsidRPr="00F03936">
        <w:rPr>
          <w:rFonts w:ascii="Times New Roman" w:hAnsi="Times New Roman" w:cs="Times New Roman"/>
          <w:i/>
          <w:iCs/>
          <w:noProof/>
          <w:kern w:val="0"/>
          <w:sz w:val="24"/>
          <w:szCs w:val="24"/>
        </w:rPr>
        <w:t>Toxicologic Pathology</w:t>
      </w:r>
      <w:r w:rsidRPr="00F03936">
        <w:rPr>
          <w:rFonts w:ascii="Times New Roman" w:hAnsi="Times New Roman" w:cs="Times New Roman"/>
          <w:noProof/>
          <w:kern w:val="0"/>
          <w:sz w:val="24"/>
          <w:szCs w:val="24"/>
        </w:rPr>
        <w:t>, 50(1), pp. 47–59. Available at: https://doi.org/10.1177/01926233211056859.</w:t>
      </w:r>
    </w:p>
    <w:p w14:paraId="722DC08A"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Husøy, T. </w:t>
      </w:r>
      <w:r w:rsidRPr="00F03936">
        <w:rPr>
          <w:rFonts w:ascii="Times New Roman" w:hAnsi="Times New Roman" w:cs="Times New Roman"/>
          <w:i/>
          <w:iCs/>
          <w:noProof/>
          <w:kern w:val="0"/>
          <w:sz w:val="24"/>
          <w:szCs w:val="24"/>
        </w:rPr>
        <w:t>et al.</w:t>
      </w:r>
      <w:r w:rsidRPr="00F03936">
        <w:rPr>
          <w:rFonts w:ascii="Times New Roman" w:hAnsi="Times New Roman" w:cs="Times New Roman"/>
          <w:noProof/>
          <w:kern w:val="0"/>
          <w:sz w:val="24"/>
          <w:szCs w:val="24"/>
        </w:rPr>
        <w:t xml:space="preserve"> (2019) ‘Risk assessment of furan exposure in the Norwegian population’, </w:t>
      </w:r>
      <w:r w:rsidRPr="00F03936">
        <w:rPr>
          <w:rFonts w:ascii="Times New Roman" w:hAnsi="Times New Roman" w:cs="Times New Roman"/>
          <w:i/>
          <w:iCs/>
          <w:noProof/>
          <w:kern w:val="0"/>
          <w:sz w:val="24"/>
          <w:szCs w:val="24"/>
        </w:rPr>
        <w:t>Eur J Nutr Food Safe</w:t>
      </w:r>
      <w:r w:rsidRPr="00F03936">
        <w:rPr>
          <w:rFonts w:ascii="Times New Roman" w:hAnsi="Times New Roman" w:cs="Times New Roman"/>
          <w:noProof/>
          <w:kern w:val="0"/>
          <w:sz w:val="24"/>
          <w:szCs w:val="24"/>
        </w:rPr>
        <w:t>, 11, pp. 44–46. Available at: doi: 10.9734/EJNFS/2019/v11i130128.</w:t>
      </w:r>
    </w:p>
    <w:p w14:paraId="60406E55"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Ibraheem, A. S. </w:t>
      </w:r>
      <w:r w:rsidRPr="00F03936">
        <w:rPr>
          <w:rFonts w:ascii="Times New Roman" w:hAnsi="Times New Roman" w:cs="Times New Roman"/>
          <w:i/>
          <w:iCs/>
          <w:noProof/>
          <w:kern w:val="0"/>
          <w:sz w:val="24"/>
          <w:szCs w:val="24"/>
        </w:rPr>
        <w:t>et al.</w:t>
      </w:r>
      <w:r w:rsidRPr="00F03936">
        <w:rPr>
          <w:rFonts w:ascii="Times New Roman" w:hAnsi="Times New Roman" w:cs="Times New Roman"/>
          <w:noProof/>
          <w:kern w:val="0"/>
          <w:sz w:val="24"/>
          <w:szCs w:val="24"/>
        </w:rPr>
        <w:t xml:space="preserve"> (2016) ‘Single or combined cadmium and aluminum intoxication of mice liver and kidney with possible effect of zinc’, </w:t>
      </w:r>
      <w:r w:rsidRPr="00F03936">
        <w:rPr>
          <w:rFonts w:ascii="Times New Roman" w:hAnsi="Times New Roman" w:cs="Times New Roman"/>
          <w:i/>
          <w:iCs/>
          <w:noProof/>
          <w:kern w:val="0"/>
          <w:sz w:val="24"/>
          <w:szCs w:val="24"/>
        </w:rPr>
        <w:t>The Journal of Basic &amp; Applied Zoology</w:t>
      </w:r>
      <w:r w:rsidRPr="00F03936">
        <w:rPr>
          <w:rFonts w:ascii="Times New Roman" w:hAnsi="Times New Roman" w:cs="Times New Roman"/>
          <w:noProof/>
          <w:kern w:val="0"/>
          <w:sz w:val="24"/>
          <w:szCs w:val="24"/>
        </w:rPr>
        <w:t>, 77(2016), pp. 91–101. doi: 10.1016/j.jobaz.2016.12.004.</w:t>
      </w:r>
    </w:p>
    <w:p w14:paraId="22D5AAFE"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Joardar, S. </w:t>
      </w:r>
      <w:r w:rsidRPr="00F03936">
        <w:rPr>
          <w:rFonts w:ascii="Times New Roman" w:hAnsi="Times New Roman" w:cs="Times New Roman"/>
          <w:i/>
          <w:iCs/>
          <w:noProof/>
          <w:kern w:val="0"/>
          <w:sz w:val="24"/>
          <w:szCs w:val="24"/>
        </w:rPr>
        <w:t>et al.</w:t>
      </w:r>
      <w:r w:rsidRPr="00F03936">
        <w:rPr>
          <w:rFonts w:ascii="Times New Roman" w:hAnsi="Times New Roman" w:cs="Times New Roman"/>
          <w:noProof/>
          <w:kern w:val="0"/>
          <w:sz w:val="24"/>
          <w:szCs w:val="24"/>
        </w:rPr>
        <w:t xml:space="preserve"> (2019) ‘Rosmarinic acid attenuates cadmium-induced nephrotoxicity via inhibition of oxidative stress, apoptosis, inflammation and fibrosis’, </w:t>
      </w:r>
      <w:r w:rsidRPr="00F03936">
        <w:rPr>
          <w:rFonts w:ascii="Times New Roman" w:hAnsi="Times New Roman" w:cs="Times New Roman"/>
          <w:i/>
          <w:iCs/>
          <w:noProof/>
          <w:kern w:val="0"/>
          <w:sz w:val="24"/>
          <w:szCs w:val="24"/>
        </w:rPr>
        <w:t>International Journal of Molecular Sciences</w:t>
      </w:r>
      <w:r w:rsidRPr="00F03936">
        <w:rPr>
          <w:rFonts w:ascii="Times New Roman" w:hAnsi="Times New Roman" w:cs="Times New Roman"/>
          <w:noProof/>
          <w:kern w:val="0"/>
          <w:sz w:val="24"/>
          <w:szCs w:val="24"/>
        </w:rPr>
        <w:t>, 20(8), p. 2027. Available at: https://doi.org/10.3390/ijms20082027.</w:t>
      </w:r>
    </w:p>
    <w:p w14:paraId="7A0D8C44"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Kaya, E., Yılmaz, S. and Ceribasi, S. (2019a) ‘Protective role of propolis on low and high dose furan-induced hepatotoxicity and oxidative stress in rats’, </w:t>
      </w:r>
      <w:r w:rsidRPr="00F03936">
        <w:rPr>
          <w:rFonts w:ascii="Times New Roman" w:hAnsi="Times New Roman" w:cs="Times New Roman"/>
          <w:i/>
          <w:iCs/>
          <w:noProof/>
          <w:kern w:val="0"/>
          <w:sz w:val="24"/>
          <w:szCs w:val="24"/>
        </w:rPr>
        <w:t>Journal of Veterinary Research</w:t>
      </w:r>
      <w:r w:rsidRPr="00F03936">
        <w:rPr>
          <w:rFonts w:ascii="Times New Roman" w:hAnsi="Times New Roman" w:cs="Times New Roman"/>
          <w:noProof/>
          <w:kern w:val="0"/>
          <w:sz w:val="24"/>
          <w:szCs w:val="24"/>
        </w:rPr>
        <w:t>, 63(3), p. 423. Available at: doi:10.2478/jvetres-2019-0054.</w:t>
      </w:r>
    </w:p>
    <w:p w14:paraId="74CAFD2B"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Kaya, E., Yılmaz, S. and Ceribasi, S. (2019b) ‘Protective role of propolis on low and high dose furan-induced hepatotoxicity and oxidative stress in rats’, </w:t>
      </w:r>
      <w:r w:rsidRPr="00F03936">
        <w:rPr>
          <w:rFonts w:ascii="Times New Roman" w:hAnsi="Times New Roman" w:cs="Times New Roman"/>
          <w:i/>
          <w:iCs/>
          <w:noProof/>
          <w:kern w:val="0"/>
          <w:sz w:val="24"/>
          <w:szCs w:val="24"/>
        </w:rPr>
        <w:t>Journal of Veterinary Research (Poland)</w:t>
      </w:r>
      <w:r w:rsidRPr="00F03936">
        <w:rPr>
          <w:rFonts w:ascii="Times New Roman" w:hAnsi="Times New Roman" w:cs="Times New Roman"/>
          <w:noProof/>
          <w:kern w:val="0"/>
          <w:sz w:val="24"/>
          <w:szCs w:val="24"/>
        </w:rPr>
        <w:t>, 63(3), pp. 423–431. doi: 10.2478/jvetres-2019-0054.</w:t>
      </w:r>
    </w:p>
    <w:p w14:paraId="2A5F4D30"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lastRenderedPageBreak/>
        <w:t xml:space="preserve">Kousar, K. </w:t>
      </w:r>
      <w:r w:rsidRPr="00F03936">
        <w:rPr>
          <w:rFonts w:ascii="Times New Roman" w:hAnsi="Times New Roman" w:cs="Times New Roman"/>
          <w:i/>
          <w:iCs/>
          <w:noProof/>
          <w:kern w:val="0"/>
          <w:sz w:val="24"/>
          <w:szCs w:val="24"/>
        </w:rPr>
        <w:t>et al.</w:t>
      </w:r>
      <w:r w:rsidRPr="00F03936">
        <w:rPr>
          <w:rFonts w:ascii="Times New Roman" w:hAnsi="Times New Roman" w:cs="Times New Roman"/>
          <w:noProof/>
          <w:kern w:val="0"/>
          <w:sz w:val="24"/>
          <w:szCs w:val="24"/>
        </w:rPr>
        <w:t xml:space="preserve"> (2022) ‘Biomedicine &amp; Pharmacotherapy Hepatoprotective role of vitexin against cadmium-induced liver damage in male rats : A biochemical , inflammatory , apoptotic and histopathological investigation’, </w:t>
      </w:r>
      <w:r w:rsidRPr="00F03936">
        <w:rPr>
          <w:rFonts w:ascii="Times New Roman" w:hAnsi="Times New Roman" w:cs="Times New Roman"/>
          <w:i/>
          <w:iCs/>
          <w:noProof/>
          <w:kern w:val="0"/>
          <w:sz w:val="24"/>
          <w:szCs w:val="24"/>
        </w:rPr>
        <w:t>Biomedicine &amp; Pharmacotherapy</w:t>
      </w:r>
      <w:r w:rsidRPr="00F03936">
        <w:rPr>
          <w:rFonts w:ascii="Times New Roman" w:hAnsi="Times New Roman" w:cs="Times New Roman"/>
          <w:noProof/>
          <w:kern w:val="0"/>
          <w:sz w:val="24"/>
          <w:szCs w:val="24"/>
        </w:rPr>
        <w:t>, 150, p. 112934. doi: 10.1016/j.biopha.2022.112934.</w:t>
      </w:r>
    </w:p>
    <w:p w14:paraId="2520F9F0"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Koyuturk, M. </w:t>
      </w:r>
      <w:r w:rsidRPr="00F03936">
        <w:rPr>
          <w:rFonts w:ascii="Times New Roman" w:hAnsi="Times New Roman" w:cs="Times New Roman"/>
          <w:i/>
          <w:iCs/>
          <w:noProof/>
          <w:kern w:val="0"/>
          <w:sz w:val="24"/>
          <w:szCs w:val="24"/>
        </w:rPr>
        <w:t>et al.</w:t>
      </w:r>
      <w:r w:rsidRPr="00F03936">
        <w:rPr>
          <w:rFonts w:ascii="Times New Roman" w:hAnsi="Times New Roman" w:cs="Times New Roman"/>
          <w:noProof/>
          <w:kern w:val="0"/>
          <w:sz w:val="24"/>
          <w:szCs w:val="24"/>
        </w:rPr>
        <w:t xml:space="preserve"> (2007) ‘The potential role of combined anti-oxidants against cadmium toxicity on liver of rats’, </w:t>
      </w:r>
      <w:r w:rsidRPr="00F03936">
        <w:rPr>
          <w:rFonts w:ascii="Times New Roman" w:hAnsi="Times New Roman" w:cs="Times New Roman"/>
          <w:i/>
          <w:iCs/>
          <w:noProof/>
          <w:kern w:val="0"/>
          <w:sz w:val="24"/>
          <w:szCs w:val="24"/>
        </w:rPr>
        <w:t>Toxicology and Industrial Health</w:t>
      </w:r>
      <w:r w:rsidRPr="00F03936">
        <w:rPr>
          <w:rFonts w:ascii="Times New Roman" w:hAnsi="Times New Roman" w:cs="Times New Roman"/>
          <w:noProof/>
          <w:kern w:val="0"/>
          <w:sz w:val="24"/>
          <w:szCs w:val="24"/>
        </w:rPr>
        <w:t>, 23(7), pp. 393–401. Available at: https://doi.org/10.1177/0748233707081907.</w:t>
      </w:r>
    </w:p>
    <w:p w14:paraId="7D213B4F"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Kumar, A. </w:t>
      </w:r>
      <w:r w:rsidRPr="00F03936">
        <w:rPr>
          <w:rFonts w:ascii="Times New Roman" w:hAnsi="Times New Roman" w:cs="Times New Roman"/>
          <w:i/>
          <w:iCs/>
          <w:noProof/>
          <w:kern w:val="0"/>
          <w:sz w:val="24"/>
          <w:szCs w:val="24"/>
        </w:rPr>
        <w:t>et al.</w:t>
      </w:r>
      <w:r w:rsidRPr="00F03936">
        <w:rPr>
          <w:rFonts w:ascii="Times New Roman" w:hAnsi="Times New Roman" w:cs="Times New Roman"/>
          <w:noProof/>
          <w:kern w:val="0"/>
          <w:sz w:val="24"/>
          <w:szCs w:val="24"/>
        </w:rPr>
        <w:t xml:space="preserve"> (2021) ‘Biomedicine &amp; Pharmacotherapy Protective effect of eugenol on hepatic inflammation and oxidative stress induced by cadmium in male rats’, </w:t>
      </w:r>
      <w:r w:rsidRPr="00F03936">
        <w:rPr>
          <w:rFonts w:ascii="Times New Roman" w:hAnsi="Times New Roman" w:cs="Times New Roman"/>
          <w:i/>
          <w:iCs/>
          <w:noProof/>
          <w:kern w:val="0"/>
          <w:sz w:val="24"/>
          <w:szCs w:val="24"/>
        </w:rPr>
        <w:t>Biomedicine &amp; Pharmacotherapy</w:t>
      </w:r>
      <w:r w:rsidRPr="00F03936">
        <w:rPr>
          <w:rFonts w:ascii="Times New Roman" w:hAnsi="Times New Roman" w:cs="Times New Roman"/>
          <w:noProof/>
          <w:kern w:val="0"/>
          <w:sz w:val="24"/>
          <w:szCs w:val="24"/>
        </w:rPr>
        <w:t>, 139(December 2020), p. 111588. doi: 10.1016/j.biopha.2021.111588.</w:t>
      </w:r>
    </w:p>
    <w:p w14:paraId="7EED3EB4"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Liu, J. </w:t>
      </w:r>
      <w:r w:rsidRPr="00F03936">
        <w:rPr>
          <w:rFonts w:ascii="Times New Roman" w:hAnsi="Times New Roman" w:cs="Times New Roman"/>
          <w:i/>
          <w:iCs/>
          <w:noProof/>
          <w:kern w:val="0"/>
          <w:sz w:val="24"/>
          <w:szCs w:val="24"/>
        </w:rPr>
        <w:t>et al.</w:t>
      </w:r>
      <w:r w:rsidRPr="00F03936">
        <w:rPr>
          <w:rFonts w:ascii="Times New Roman" w:hAnsi="Times New Roman" w:cs="Times New Roman"/>
          <w:noProof/>
          <w:kern w:val="0"/>
          <w:sz w:val="24"/>
          <w:szCs w:val="24"/>
        </w:rPr>
        <w:t xml:space="preserve"> (2018) ‘Activity of MPF and expression of its related genes in mouse MI oocytes exposed to cadmium’, </w:t>
      </w:r>
      <w:r w:rsidRPr="00F03936">
        <w:rPr>
          <w:rFonts w:ascii="Times New Roman" w:hAnsi="Times New Roman" w:cs="Times New Roman"/>
          <w:i/>
          <w:iCs/>
          <w:noProof/>
          <w:kern w:val="0"/>
          <w:sz w:val="24"/>
          <w:szCs w:val="24"/>
        </w:rPr>
        <w:t>Food and Chemical Toxicology</w:t>
      </w:r>
      <w:r w:rsidRPr="00F03936">
        <w:rPr>
          <w:rFonts w:ascii="Times New Roman" w:hAnsi="Times New Roman" w:cs="Times New Roman"/>
          <w:noProof/>
          <w:kern w:val="0"/>
          <w:sz w:val="24"/>
          <w:szCs w:val="24"/>
        </w:rPr>
        <w:t>, 112, pp. 332–341. Available at: https://doi.org/10.1016/j.fct.2017.12.046.</w:t>
      </w:r>
    </w:p>
    <w:p w14:paraId="6E8B8D14" w14:textId="77777777" w:rsidR="00F03936" w:rsidRPr="00756FFE"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lang w:val="fr-FR"/>
        </w:rPr>
      </w:pPr>
      <w:r w:rsidRPr="00F03936">
        <w:rPr>
          <w:rFonts w:ascii="Times New Roman" w:hAnsi="Times New Roman" w:cs="Times New Roman"/>
          <w:noProof/>
          <w:kern w:val="0"/>
          <w:sz w:val="24"/>
          <w:szCs w:val="24"/>
        </w:rPr>
        <w:t xml:space="preserve">Lu, D. and Peterson, L. A. (2010) ‘Identification of furan metabolites derived from Cysteine− cis-2-Butene-1, 4-dial− Lysine cross-links’, </w:t>
      </w:r>
      <w:r w:rsidRPr="00F03936">
        <w:rPr>
          <w:rFonts w:ascii="Times New Roman" w:hAnsi="Times New Roman" w:cs="Times New Roman"/>
          <w:i/>
          <w:iCs/>
          <w:noProof/>
          <w:kern w:val="0"/>
          <w:sz w:val="24"/>
          <w:szCs w:val="24"/>
        </w:rPr>
        <w:t>Chemical research in toxicology</w:t>
      </w:r>
      <w:r w:rsidRPr="00F03936">
        <w:rPr>
          <w:rFonts w:ascii="Times New Roman" w:hAnsi="Times New Roman" w:cs="Times New Roman"/>
          <w:noProof/>
          <w:kern w:val="0"/>
          <w:sz w:val="24"/>
          <w:szCs w:val="24"/>
        </w:rPr>
        <w:t xml:space="preserve">, 23(1), pp. 142–151. </w:t>
      </w:r>
      <w:r w:rsidRPr="00756FFE">
        <w:rPr>
          <w:rFonts w:ascii="Times New Roman" w:hAnsi="Times New Roman" w:cs="Times New Roman"/>
          <w:noProof/>
          <w:kern w:val="0"/>
          <w:sz w:val="24"/>
          <w:szCs w:val="24"/>
          <w:lang w:val="fr-FR"/>
        </w:rPr>
        <w:t>Available at: https://doi.org/10.1021/tx9003215.</w:t>
      </w:r>
    </w:p>
    <w:p w14:paraId="7AB024AF"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756FFE">
        <w:rPr>
          <w:rFonts w:ascii="Times New Roman" w:hAnsi="Times New Roman" w:cs="Times New Roman"/>
          <w:noProof/>
          <w:kern w:val="0"/>
          <w:sz w:val="24"/>
          <w:szCs w:val="24"/>
          <w:lang w:val="fr-FR"/>
        </w:rPr>
        <w:t xml:space="preserve">McDaniel, L. P.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 xml:space="preserve">(2012) ‘Genotoxicity of furan in Big Blue rats’, </w:t>
      </w:r>
      <w:r w:rsidRPr="00F03936">
        <w:rPr>
          <w:rFonts w:ascii="Times New Roman" w:hAnsi="Times New Roman" w:cs="Times New Roman"/>
          <w:i/>
          <w:iCs/>
          <w:noProof/>
          <w:kern w:val="0"/>
          <w:sz w:val="24"/>
          <w:szCs w:val="24"/>
        </w:rPr>
        <w:t>Mutation Research/Genetic Toxicology and Environmental Mutagenesis</w:t>
      </w:r>
      <w:r w:rsidRPr="00F03936">
        <w:rPr>
          <w:rFonts w:ascii="Times New Roman" w:hAnsi="Times New Roman" w:cs="Times New Roman"/>
          <w:noProof/>
          <w:kern w:val="0"/>
          <w:sz w:val="24"/>
          <w:szCs w:val="24"/>
        </w:rPr>
        <w:t>, 742(1–2), pp. 72–78. Available at: https://doi.org/10.1016/j.mrgentox.2011.12.011.</w:t>
      </w:r>
    </w:p>
    <w:p w14:paraId="527C477B"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McGill, M. R. (2016) ‘The past and present of serum aminotransferases and the future of liver injury  biomarkers.’, </w:t>
      </w:r>
      <w:r w:rsidRPr="00F03936">
        <w:rPr>
          <w:rFonts w:ascii="Times New Roman" w:hAnsi="Times New Roman" w:cs="Times New Roman"/>
          <w:i/>
          <w:iCs/>
          <w:noProof/>
          <w:kern w:val="0"/>
          <w:sz w:val="24"/>
          <w:szCs w:val="24"/>
        </w:rPr>
        <w:t>EXCLI journal</w:t>
      </w:r>
      <w:r w:rsidRPr="00F03936">
        <w:rPr>
          <w:rFonts w:ascii="Times New Roman" w:hAnsi="Times New Roman" w:cs="Times New Roman"/>
          <w:noProof/>
          <w:kern w:val="0"/>
          <w:sz w:val="24"/>
          <w:szCs w:val="24"/>
        </w:rPr>
        <w:t>, 15, pp. 817–828. doi: 10.17179/excli2016-800.</w:t>
      </w:r>
    </w:p>
    <w:p w14:paraId="04CF27E8"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Murugavel, P. and Pari, L. (2007) ‘Effects of diallyl tetrasulfide on cadmium-induced oxidative damage in the liver of rats’, </w:t>
      </w:r>
      <w:r w:rsidRPr="00F03936">
        <w:rPr>
          <w:rFonts w:ascii="Times New Roman" w:hAnsi="Times New Roman" w:cs="Times New Roman"/>
          <w:i/>
          <w:iCs/>
          <w:noProof/>
          <w:kern w:val="0"/>
          <w:sz w:val="24"/>
          <w:szCs w:val="24"/>
        </w:rPr>
        <w:t>Human and Experimental Toxicology</w:t>
      </w:r>
      <w:r w:rsidRPr="00F03936">
        <w:rPr>
          <w:rFonts w:ascii="Times New Roman" w:hAnsi="Times New Roman" w:cs="Times New Roman"/>
          <w:noProof/>
          <w:kern w:val="0"/>
          <w:sz w:val="24"/>
          <w:szCs w:val="24"/>
        </w:rPr>
        <w:t>, 26(6), pp. 527–534. doi: 10.1177/0960327107073810.</w:t>
      </w:r>
    </w:p>
    <w:p w14:paraId="1A3AAA2D"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756FFE">
        <w:rPr>
          <w:rFonts w:ascii="Times New Roman" w:hAnsi="Times New Roman" w:cs="Times New Roman"/>
          <w:noProof/>
          <w:kern w:val="0"/>
          <w:sz w:val="24"/>
          <w:szCs w:val="24"/>
          <w:lang w:val="fr-FR"/>
        </w:rPr>
        <w:t xml:space="preserve">Nair, A. R.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 xml:space="preserve">(2013) ‘Cadmium-Induced Pathologies: Where Is the Oxidative Balance Lost (or Not)?’, </w:t>
      </w:r>
      <w:r w:rsidRPr="00F03936">
        <w:rPr>
          <w:rFonts w:ascii="Times New Roman" w:hAnsi="Times New Roman" w:cs="Times New Roman"/>
          <w:i/>
          <w:iCs/>
          <w:noProof/>
          <w:kern w:val="0"/>
          <w:sz w:val="24"/>
          <w:szCs w:val="24"/>
        </w:rPr>
        <w:t>International Journal of Molecular Sciences</w:t>
      </w:r>
      <w:r w:rsidRPr="00F03936">
        <w:rPr>
          <w:rFonts w:ascii="Times New Roman" w:hAnsi="Times New Roman" w:cs="Times New Roman"/>
          <w:noProof/>
          <w:kern w:val="0"/>
          <w:sz w:val="24"/>
          <w:szCs w:val="24"/>
        </w:rPr>
        <w:t>, pp. 6116–6143. doi: 10.3390/ijms14036116.</w:t>
      </w:r>
    </w:p>
    <w:p w14:paraId="579F5158"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756FFE">
        <w:rPr>
          <w:rFonts w:ascii="Times New Roman" w:hAnsi="Times New Roman" w:cs="Times New Roman"/>
          <w:noProof/>
          <w:kern w:val="0"/>
          <w:sz w:val="24"/>
          <w:szCs w:val="24"/>
          <w:lang w:val="fr-FR"/>
        </w:rPr>
        <w:t xml:space="preserve">Noor, K. K.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 xml:space="preserve">(2022) ‘Hepatoprotective role of vitexin against cadmium-induced liver damage in male rats: A biochemical, inflammatory, apoptotic and histopathological investigation’, </w:t>
      </w:r>
      <w:r w:rsidRPr="00F03936">
        <w:rPr>
          <w:rFonts w:ascii="Times New Roman" w:hAnsi="Times New Roman" w:cs="Times New Roman"/>
          <w:i/>
          <w:iCs/>
          <w:noProof/>
          <w:kern w:val="0"/>
          <w:sz w:val="24"/>
          <w:szCs w:val="24"/>
        </w:rPr>
        <w:t>Biomedicine and Pharmacotherapy</w:t>
      </w:r>
      <w:r w:rsidRPr="00F03936">
        <w:rPr>
          <w:rFonts w:ascii="Times New Roman" w:hAnsi="Times New Roman" w:cs="Times New Roman"/>
          <w:noProof/>
          <w:kern w:val="0"/>
          <w:sz w:val="24"/>
          <w:szCs w:val="24"/>
        </w:rPr>
        <w:t>, 150, p. 112934. doi: 10.1016/j.biopha.2022.112934.</w:t>
      </w:r>
    </w:p>
    <w:p w14:paraId="1600845F" w14:textId="77777777" w:rsidR="00F03936" w:rsidRPr="00756FFE"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lang w:val="fr-FR"/>
        </w:rPr>
      </w:pPr>
      <w:r w:rsidRPr="00756FFE">
        <w:rPr>
          <w:rFonts w:ascii="Times New Roman" w:hAnsi="Times New Roman" w:cs="Times New Roman"/>
          <w:noProof/>
          <w:kern w:val="0"/>
          <w:sz w:val="24"/>
          <w:szCs w:val="24"/>
          <w:lang w:val="fr-FR"/>
        </w:rPr>
        <w:lastRenderedPageBreak/>
        <w:t xml:space="preserve">Owumi, S. E.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 xml:space="preserve">(2020) ‘Luteolin abates reproductive toxicity mediated by the oxido-inflammatory response in Doxorubicin-treated rats’, </w:t>
      </w:r>
      <w:r w:rsidRPr="00F03936">
        <w:rPr>
          <w:rFonts w:ascii="Times New Roman" w:hAnsi="Times New Roman" w:cs="Times New Roman"/>
          <w:i/>
          <w:iCs/>
          <w:noProof/>
          <w:kern w:val="0"/>
          <w:sz w:val="24"/>
          <w:szCs w:val="24"/>
        </w:rPr>
        <w:t>Toxicology research and application</w:t>
      </w:r>
      <w:r w:rsidRPr="00F03936">
        <w:rPr>
          <w:rFonts w:ascii="Times New Roman" w:hAnsi="Times New Roman" w:cs="Times New Roman"/>
          <w:noProof/>
          <w:kern w:val="0"/>
          <w:sz w:val="24"/>
          <w:szCs w:val="24"/>
        </w:rPr>
        <w:t xml:space="preserve">, 4, p. 2397847320972040. </w:t>
      </w:r>
      <w:r w:rsidRPr="00756FFE">
        <w:rPr>
          <w:rFonts w:ascii="Times New Roman" w:hAnsi="Times New Roman" w:cs="Times New Roman"/>
          <w:noProof/>
          <w:kern w:val="0"/>
          <w:sz w:val="24"/>
          <w:szCs w:val="24"/>
          <w:lang w:val="fr-FR"/>
        </w:rPr>
        <w:t>Available at: https://doi.org/10.1177/2397847320972040.</w:t>
      </w:r>
    </w:p>
    <w:p w14:paraId="2CE2FD77" w14:textId="461844CA"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756FFE">
        <w:rPr>
          <w:rFonts w:ascii="Times New Roman" w:hAnsi="Times New Roman" w:cs="Times New Roman"/>
          <w:noProof/>
          <w:kern w:val="0"/>
          <w:sz w:val="24"/>
          <w:szCs w:val="24"/>
          <w:lang w:val="fr-FR"/>
        </w:rPr>
        <w:t xml:space="preserve">Owumi, S. E., Arunsi, U. O.,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(2022</w:t>
      </w:r>
      <w:r w:rsidR="00814B7C">
        <w:rPr>
          <w:rFonts w:ascii="Times New Roman" w:hAnsi="Times New Roman" w:cs="Times New Roman"/>
          <w:noProof/>
          <w:kern w:val="0"/>
          <w:sz w:val="24"/>
          <w:szCs w:val="24"/>
        </w:rPr>
        <w:t>a</w:t>
      </w:r>
      <w:r w:rsidRPr="00F03936">
        <w:rPr>
          <w:rFonts w:ascii="Times New Roman" w:hAnsi="Times New Roman" w:cs="Times New Roman"/>
          <w:noProof/>
          <w:kern w:val="0"/>
          <w:sz w:val="24"/>
          <w:szCs w:val="24"/>
        </w:rPr>
        <w:t xml:space="preserve">) ‘Accidental lead in contaminated pipe-borne water and dietary furan intake perturbs rats’ hepatorenal function altering oxidative, inflammatory, and apoptotic balance’, </w:t>
      </w:r>
      <w:r w:rsidRPr="00F03936">
        <w:rPr>
          <w:rFonts w:ascii="Times New Roman" w:hAnsi="Times New Roman" w:cs="Times New Roman"/>
          <w:i/>
          <w:iCs/>
          <w:noProof/>
          <w:kern w:val="0"/>
          <w:sz w:val="24"/>
          <w:szCs w:val="24"/>
        </w:rPr>
        <w:t>BMC Pharmacology and Toxicology</w:t>
      </w:r>
      <w:r w:rsidRPr="00F03936">
        <w:rPr>
          <w:rFonts w:ascii="Times New Roman" w:hAnsi="Times New Roman" w:cs="Times New Roman"/>
          <w:noProof/>
          <w:kern w:val="0"/>
          <w:sz w:val="24"/>
          <w:szCs w:val="24"/>
        </w:rPr>
        <w:t>, 23(1), pp. 1–17. doi: 10.1186/s40360-022-00615-0.</w:t>
      </w:r>
    </w:p>
    <w:p w14:paraId="1B22869D" w14:textId="3880167A"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756FFE">
        <w:rPr>
          <w:rFonts w:ascii="Times New Roman" w:hAnsi="Times New Roman" w:cs="Times New Roman"/>
          <w:noProof/>
          <w:kern w:val="0"/>
          <w:sz w:val="24"/>
          <w:szCs w:val="24"/>
          <w:lang w:val="fr-FR"/>
        </w:rPr>
        <w:t xml:space="preserve">Owumi, S. E., Bello, S. A.,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(2022</w:t>
      </w:r>
      <w:r w:rsidR="00814B7C">
        <w:rPr>
          <w:rFonts w:ascii="Times New Roman" w:hAnsi="Times New Roman" w:cs="Times New Roman"/>
          <w:noProof/>
          <w:kern w:val="0"/>
          <w:sz w:val="24"/>
          <w:szCs w:val="24"/>
        </w:rPr>
        <w:t>b</w:t>
      </w:r>
      <w:r w:rsidRPr="00F03936">
        <w:rPr>
          <w:rFonts w:ascii="Times New Roman" w:hAnsi="Times New Roman" w:cs="Times New Roman"/>
          <w:noProof/>
          <w:kern w:val="0"/>
          <w:sz w:val="24"/>
          <w:szCs w:val="24"/>
        </w:rPr>
        <w:t xml:space="preserve">) ‘Protocatechuic acid protects against hepatorenal toxicities in rats exposed to Furan’, </w:t>
      </w:r>
      <w:r w:rsidRPr="00F03936">
        <w:rPr>
          <w:rFonts w:ascii="Times New Roman" w:hAnsi="Times New Roman" w:cs="Times New Roman"/>
          <w:i/>
          <w:iCs/>
          <w:noProof/>
          <w:kern w:val="0"/>
          <w:sz w:val="24"/>
          <w:szCs w:val="24"/>
        </w:rPr>
        <w:t>Drug and Chemical Toxicology</w:t>
      </w:r>
      <w:r w:rsidRPr="00F03936">
        <w:rPr>
          <w:rFonts w:ascii="Times New Roman" w:hAnsi="Times New Roman" w:cs="Times New Roman"/>
          <w:noProof/>
          <w:kern w:val="0"/>
          <w:sz w:val="24"/>
          <w:szCs w:val="24"/>
        </w:rPr>
        <w:t>, 45(4), pp. 1840–1850. doi: 10.1080/01480545.2021.1890109.</w:t>
      </w:r>
    </w:p>
    <w:p w14:paraId="1692FA59"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Pandir, D. (2015) ‘Assessment of the DNA damage in human sperm and lymphocytes exposed to the carcinogen food contaminant furan with comet assay’, </w:t>
      </w:r>
      <w:r w:rsidRPr="00F03936">
        <w:rPr>
          <w:rFonts w:ascii="Times New Roman" w:hAnsi="Times New Roman" w:cs="Times New Roman"/>
          <w:i/>
          <w:iCs/>
          <w:noProof/>
          <w:kern w:val="0"/>
          <w:sz w:val="24"/>
          <w:szCs w:val="24"/>
        </w:rPr>
        <w:t>Brazilian Archives of Biology and Technology</w:t>
      </w:r>
      <w:r w:rsidRPr="00F03936">
        <w:rPr>
          <w:rFonts w:ascii="Times New Roman" w:hAnsi="Times New Roman" w:cs="Times New Roman"/>
          <w:noProof/>
          <w:kern w:val="0"/>
          <w:sz w:val="24"/>
          <w:szCs w:val="24"/>
        </w:rPr>
        <w:t>, 58, pp. 773–780. Available at: https://doi.org/10.1590/S1516-89132015050269.</w:t>
      </w:r>
    </w:p>
    <w:p w14:paraId="1F9ADC7C"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Pandir, D., Unal, B. and Bas, H. (2016) ‘Lycopene Protects the Diabetic Rat Kidney Against Oxidative Stress-mediated Oxidative Damage Induced by Furan’, </w:t>
      </w:r>
      <w:r w:rsidRPr="00F03936">
        <w:rPr>
          <w:rFonts w:ascii="Times New Roman" w:hAnsi="Times New Roman" w:cs="Times New Roman"/>
          <w:i/>
          <w:iCs/>
          <w:noProof/>
          <w:kern w:val="0"/>
          <w:sz w:val="24"/>
          <w:szCs w:val="24"/>
        </w:rPr>
        <w:t>Brazilian Archives of Biology and Technology</w:t>
      </w:r>
      <w:r w:rsidRPr="00F03936">
        <w:rPr>
          <w:rFonts w:ascii="Times New Roman" w:hAnsi="Times New Roman" w:cs="Times New Roman"/>
          <w:noProof/>
          <w:kern w:val="0"/>
          <w:sz w:val="24"/>
          <w:szCs w:val="24"/>
        </w:rPr>
        <w:t>, 59(December), pp. 1–12. doi: 10.1590/1678-4324-2016150794.</w:t>
      </w:r>
    </w:p>
    <w:p w14:paraId="130944B6"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Poli, V. </w:t>
      </w:r>
      <w:r w:rsidRPr="00F03936">
        <w:rPr>
          <w:rFonts w:ascii="Times New Roman" w:hAnsi="Times New Roman" w:cs="Times New Roman"/>
          <w:i/>
          <w:iCs/>
          <w:noProof/>
          <w:kern w:val="0"/>
          <w:sz w:val="24"/>
          <w:szCs w:val="24"/>
        </w:rPr>
        <w:t>et al.</w:t>
      </w:r>
      <w:r w:rsidRPr="00F03936">
        <w:rPr>
          <w:rFonts w:ascii="Times New Roman" w:hAnsi="Times New Roman" w:cs="Times New Roman"/>
          <w:noProof/>
          <w:kern w:val="0"/>
          <w:sz w:val="24"/>
          <w:szCs w:val="24"/>
        </w:rPr>
        <w:t xml:space="preserve"> (2022) ‘Amelioration of Cadmium-Induced Oxidative Damage in Wistar Rats by Vitamin C, Zinc and N-Acetylcysteine’, </w:t>
      </w:r>
      <w:r w:rsidRPr="00F03936">
        <w:rPr>
          <w:rFonts w:ascii="Times New Roman" w:hAnsi="Times New Roman" w:cs="Times New Roman"/>
          <w:i/>
          <w:iCs/>
          <w:noProof/>
          <w:kern w:val="0"/>
          <w:sz w:val="24"/>
          <w:szCs w:val="24"/>
        </w:rPr>
        <w:t>Medical sciences (Basel, Switzerland)</w:t>
      </w:r>
      <w:r w:rsidRPr="00F03936">
        <w:rPr>
          <w:rFonts w:ascii="Times New Roman" w:hAnsi="Times New Roman" w:cs="Times New Roman"/>
          <w:noProof/>
          <w:kern w:val="0"/>
          <w:sz w:val="24"/>
          <w:szCs w:val="24"/>
        </w:rPr>
        <w:t>, 10(1). doi: 10.3390/medsci10010007.</w:t>
      </w:r>
    </w:p>
    <w:p w14:paraId="659DAE6A"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756FFE">
        <w:rPr>
          <w:rFonts w:ascii="Times New Roman" w:hAnsi="Times New Roman" w:cs="Times New Roman"/>
          <w:noProof/>
          <w:kern w:val="0"/>
          <w:sz w:val="24"/>
          <w:szCs w:val="24"/>
          <w:lang w:val="fr-FR"/>
        </w:rPr>
        <w:t xml:space="preserve">Rahimzadeh, Mehrdad Rafati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 xml:space="preserve">(2017) ‘Cadmium toxicity and treatment: An update’, </w:t>
      </w:r>
      <w:r w:rsidRPr="00F03936">
        <w:rPr>
          <w:rFonts w:ascii="Times New Roman" w:hAnsi="Times New Roman" w:cs="Times New Roman"/>
          <w:i/>
          <w:iCs/>
          <w:noProof/>
          <w:kern w:val="0"/>
          <w:sz w:val="24"/>
          <w:szCs w:val="24"/>
        </w:rPr>
        <w:t>Caspian journal of internal medicine</w:t>
      </w:r>
      <w:r w:rsidRPr="00F03936">
        <w:rPr>
          <w:rFonts w:ascii="Times New Roman" w:hAnsi="Times New Roman" w:cs="Times New Roman"/>
          <w:noProof/>
          <w:kern w:val="0"/>
          <w:sz w:val="24"/>
          <w:szCs w:val="24"/>
        </w:rPr>
        <w:t>, 8(3), p. 135. Available at: doi: 10.22088/cjim.8.3.135.</w:t>
      </w:r>
    </w:p>
    <w:p w14:paraId="6D391077"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Rani, A. </w:t>
      </w:r>
      <w:r w:rsidRPr="00F03936">
        <w:rPr>
          <w:rFonts w:ascii="Times New Roman" w:hAnsi="Times New Roman" w:cs="Times New Roman"/>
          <w:i/>
          <w:iCs/>
          <w:noProof/>
          <w:kern w:val="0"/>
          <w:sz w:val="24"/>
          <w:szCs w:val="24"/>
        </w:rPr>
        <w:t>et al.</w:t>
      </w:r>
      <w:r w:rsidRPr="00F03936">
        <w:rPr>
          <w:rFonts w:ascii="Times New Roman" w:hAnsi="Times New Roman" w:cs="Times New Roman"/>
          <w:noProof/>
          <w:kern w:val="0"/>
          <w:sz w:val="24"/>
          <w:szCs w:val="24"/>
        </w:rPr>
        <w:t xml:space="preserve"> (2014) ‘Cellular mechanisms of cadmium-induced toxicity: A review’, </w:t>
      </w:r>
      <w:r w:rsidRPr="00F03936">
        <w:rPr>
          <w:rFonts w:ascii="Times New Roman" w:hAnsi="Times New Roman" w:cs="Times New Roman"/>
          <w:i/>
          <w:iCs/>
          <w:noProof/>
          <w:kern w:val="0"/>
          <w:sz w:val="24"/>
          <w:szCs w:val="24"/>
        </w:rPr>
        <w:t>International Journal of Environmental Health Research</w:t>
      </w:r>
      <w:r w:rsidRPr="00F03936">
        <w:rPr>
          <w:rFonts w:ascii="Times New Roman" w:hAnsi="Times New Roman" w:cs="Times New Roman"/>
          <w:noProof/>
          <w:kern w:val="0"/>
          <w:sz w:val="24"/>
          <w:szCs w:val="24"/>
        </w:rPr>
        <w:t>, 24(4), pp. 378–399. doi: 10.1080/09603123.2013.835032.</w:t>
      </w:r>
    </w:p>
    <w:p w14:paraId="41399E04" w14:textId="2E1175A8" w:rsidR="00F03936" w:rsidRPr="00F03936" w:rsidRDefault="00F03936" w:rsidP="00814B7C">
      <w:pPr>
        <w:widowControl w:val="0"/>
        <w:autoSpaceDE w:val="0"/>
        <w:autoSpaceDN w:val="0"/>
        <w:bidi w:val="0"/>
        <w:adjustRightInd w:val="0"/>
        <w:spacing w:line="360" w:lineRule="auto"/>
        <w:ind w:left="480" w:hanging="480"/>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Samarghandian, S. </w:t>
      </w:r>
      <w:r w:rsidRPr="00F03936">
        <w:rPr>
          <w:rFonts w:ascii="Times New Roman" w:hAnsi="Times New Roman" w:cs="Times New Roman"/>
          <w:i/>
          <w:iCs/>
          <w:noProof/>
          <w:kern w:val="0"/>
          <w:sz w:val="24"/>
          <w:szCs w:val="24"/>
        </w:rPr>
        <w:t>et al.</w:t>
      </w:r>
      <w:r w:rsidRPr="00F03936">
        <w:rPr>
          <w:rFonts w:ascii="Times New Roman" w:hAnsi="Times New Roman" w:cs="Times New Roman"/>
          <w:noProof/>
          <w:kern w:val="0"/>
          <w:sz w:val="24"/>
          <w:szCs w:val="24"/>
        </w:rPr>
        <w:t xml:space="preserve"> (2015) ‘Effect of chronic exposure to cadmium on serum lipid, lipoprotein and oxidative stress indices in male rats’, </w:t>
      </w:r>
      <w:r w:rsidRPr="00F03936">
        <w:rPr>
          <w:rFonts w:ascii="Times New Roman" w:hAnsi="Times New Roman" w:cs="Times New Roman"/>
          <w:i/>
          <w:iCs/>
          <w:noProof/>
          <w:kern w:val="0"/>
          <w:sz w:val="24"/>
          <w:szCs w:val="24"/>
        </w:rPr>
        <w:t>Interdisciplinary toxicology</w:t>
      </w:r>
      <w:r w:rsidRPr="00F03936">
        <w:rPr>
          <w:rFonts w:ascii="Times New Roman" w:hAnsi="Times New Roman" w:cs="Times New Roman"/>
          <w:noProof/>
          <w:kern w:val="0"/>
          <w:sz w:val="24"/>
          <w:szCs w:val="24"/>
        </w:rPr>
        <w:t>, 8(3), p. 151.</w:t>
      </w:r>
      <w:r w:rsidR="00814B7C" w:rsidRPr="00814B7C">
        <w:rPr>
          <w:rFonts w:ascii="Times New Roman" w:hAnsi="Times New Roman" w:cs="Times New Roman"/>
          <w:noProof/>
          <w:kern w:val="0"/>
          <w:sz w:val="24"/>
          <w:szCs w:val="24"/>
        </w:rPr>
        <w:t xml:space="preserve"> </w:t>
      </w:r>
      <w:r w:rsidR="00814B7C" w:rsidRPr="00D017C8">
        <w:rPr>
          <w:rFonts w:ascii="Times New Roman" w:hAnsi="Times New Roman" w:cs="Times New Roman"/>
          <w:noProof/>
          <w:kern w:val="0"/>
          <w:sz w:val="24"/>
          <w:szCs w:val="24"/>
        </w:rPr>
        <w:t>https://doi.org/10.1515/intox-2015-0023</w:t>
      </w:r>
      <w:r w:rsidR="00814B7C">
        <w:rPr>
          <w:rFonts w:ascii="Times New Roman" w:hAnsi="Times New Roman" w:cs="Times New Roman"/>
          <w:noProof/>
          <w:kern w:val="0"/>
          <w:sz w:val="24"/>
          <w:szCs w:val="24"/>
        </w:rPr>
        <w:t>.</w:t>
      </w:r>
    </w:p>
    <w:p w14:paraId="5A6FD1CC" w14:textId="77777777" w:rsidR="00F03936" w:rsidRPr="00756FFE"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lang w:val="fr-FR"/>
        </w:rPr>
      </w:pPr>
      <w:r w:rsidRPr="00F03936">
        <w:rPr>
          <w:rFonts w:ascii="Times New Roman" w:hAnsi="Times New Roman" w:cs="Times New Roman"/>
          <w:noProof/>
          <w:kern w:val="0"/>
          <w:sz w:val="24"/>
          <w:szCs w:val="24"/>
        </w:rPr>
        <w:t xml:space="preserve">Sarkar, S., Singh, R. P. and Bhattacharya, G. (2021) ‘Exploring the role of Azadirachta indica (neem) and its active compounds in the regulation of biological pathways: an update on molecular approach’, </w:t>
      </w:r>
      <w:r w:rsidRPr="00F03936">
        <w:rPr>
          <w:rFonts w:ascii="Times New Roman" w:hAnsi="Times New Roman" w:cs="Times New Roman"/>
          <w:i/>
          <w:iCs/>
          <w:noProof/>
          <w:kern w:val="0"/>
          <w:sz w:val="24"/>
          <w:szCs w:val="24"/>
        </w:rPr>
        <w:t>3 Biotech</w:t>
      </w:r>
      <w:r w:rsidRPr="00F03936">
        <w:rPr>
          <w:rFonts w:ascii="Times New Roman" w:hAnsi="Times New Roman" w:cs="Times New Roman"/>
          <w:noProof/>
          <w:kern w:val="0"/>
          <w:sz w:val="24"/>
          <w:szCs w:val="24"/>
        </w:rPr>
        <w:t xml:space="preserve">, 11(4), p. 178. </w:t>
      </w:r>
      <w:r w:rsidRPr="00756FFE">
        <w:rPr>
          <w:rFonts w:ascii="Times New Roman" w:hAnsi="Times New Roman" w:cs="Times New Roman"/>
          <w:noProof/>
          <w:kern w:val="0"/>
          <w:sz w:val="24"/>
          <w:szCs w:val="24"/>
          <w:lang w:val="fr-FR"/>
        </w:rPr>
        <w:t>Available at: https://doi.org/10.1007/s13205-021-02745-4.</w:t>
      </w:r>
    </w:p>
    <w:p w14:paraId="0ED070DB"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756FFE">
        <w:rPr>
          <w:rFonts w:ascii="Times New Roman" w:hAnsi="Times New Roman" w:cs="Times New Roman"/>
          <w:noProof/>
          <w:kern w:val="0"/>
          <w:sz w:val="24"/>
          <w:szCs w:val="24"/>
          <w:lang w:val="fr-FR"/>
        </w:rPr>
        <w:lastRenderedPageBreak/>
        <w:t xml:space="preserve">Seif, M. M.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 xml:space="preserve">(2019) ‘Hepato-Renal protective Effects of Egyptian Purslane Extract against Experimental Cadmium Toxicity in Rats with Special Emphasis on the Functional and Histopathological Changes’, </w:t>
      </w:r>
      <w:r w:rsidRPr="00F03936">
        <w:rPr>
          <w:rFonts w:ascii="Times New Roman" w:hAnsi="Times New Roman" w:cs="Times New Roman"/>
          <w:i/>
          <w:iCs/>
          <w:noProof/>
          <w:kern w:val="0"/>
          <w:sz w:val="24"/>
          <w:szCs w:val="24"/>
        </w:rPr>
        <w:t>Toxicology Reports</w:t>
      </w:r>
      <w:r w:rsidRPr="00F03936">
        <w:rPr>
          <w:rFonts w:ascii="Times New Roman" w:hAnsi="Times New Roman" w:cs="Times New Roman"/>
          <w:noProof/>
          <w:kern w:val="0"/>
          <w:sz w:val="24"/>
          <w:szCs w:val="24"/>
        </w:rPr>
        <w:t>, 6(March), pp. 625–631. doi: 10.1016/j.toxrep.2019.06.013.</w:t>
      </w:r>
    </w:p>
    <w:p w14:paraId="6D862AB1"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F03936">
        <w:rPr>
          <w:rFonts w:ascii="Times New Roman" w:hAnsi="Times New Roman" w:cs="Times New Roman"/>
          <w:noProof/>
          <w:kern w:val="0"/>
          <w:sz w:val="24"/>
          <w:szCs w:val="24"/>
        </w:rPr>
        <w:t xml:space="preserve">Selmanoǧlu, G. </w:t>
      </w:r>
      <w:r w:rsidRPr="00F03936">
        <w:rPr>
          <w:rFonts w:ascii="Times New Roman" w:hAnsi="Times New Roman" w:cs="Times New Roman"/>
          <w:i/>
          <w:iCs/>
          <w:noProof/>
          <w:kern w:val="0"/>
          <w:sz w:val="24"/>
          <w:szCs w:val="24"/>
        </w:rPr>
        <w:t>et al.</w:t>
      </w:r>
      <w:r w:rsidRPr="00F03936">
        <w:rPr>
          <w:rFonts w:ascii="Times New Roman" w:hAnsi="Times New Roman" w:cs="Times New Roman"/>
          <w:noProof/>
          <w:kern w:val="0"/>
          <w:sz w:val="24"/>
          <w:szCs w:val="24"/>
        </w:rPr>
        <w:t xml:space="preserve"> (2012) ‘Toxicity of food contaminant furan on liver and kidney of growing male rats’, </w:t>
      </w:r>
      <w:r w:rsidRPr="00F03936">
        <w:rPr>
          <w:rFonts w:ascii="Times New Roman" w:hAnsi="Times New Roman" w:cs="Times New Roman"/>
          <w:i/>
          <w:iCs/>
          <w:noProof/>
          <w:kern w:val="0"/>
          <w:sz w:val="24"/>
          <w:szCs w:val="24"/>
        </w:rPr>
        <w:t>Environmental Toxicology</w:t>
      </w:r>
      <w:r w:rsidRPr="00F03936">
        <w:rPr>
          <w:rFonts w:ascii="Times New Roman" w:hAnsi="Times New Roman" w:cs="Times New Roman"/>
          <w:noProof/>
          <w:kern w:val="0"/>
          <w:sz w:val="24"/>
          <w:szCs w:val="24"/>
        </w:rPr>
        <w:t>, 27(10), pp. 613–622. doi: 10.1002/tox.20673.</w:t>
      </w:r>
    </w:p>
    <w:p w14:paraId="4F20BDCA" w14:textId="77777777" w:rsidR="00F03936" w:rsidRPr="00756FFE"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lang w:val="fr-FR"/>
        </w:rPr>
      </w:pPr>
      <w:r w:rsidRPr="00F03936">
        <w:rPr>
          <w:rFonts w:ascii="Times New Roman" w:hAnsi="Times New Roman" w:cs="Times New Roman"/>
          <w:noProof/>
          <w:kern w:val="0"/>
          <w:sz w:val="24"/>
          <w:szCs w:val="24"/>
        </w:rPr>
        <w:t xml:space="preserve">Sharma, N. (2014) ‘Biologicals’, </w:t>
      </w:r>
      <w:r w:rsidRPr="00F03936">
        <w:rPr>
          <w:rFonts w:ascii="Times New Roman" w:hAnsi="Times New Roman" w:cs="Times New Roman"/>
          <w:i/>
          <w:iCs/>
          <w:noProof/>
          <w:kern w:val="0"/>
          <w:sz w:val="24"/>
          <w:szCs w:val="24"/>
        </w:rPr>
        <w:t>Biological Controls for Preventing Food Deterioration</w:t>
      </w:r>
      <w:r w:rsidRPr="00F03936">
        <w:rPr>
          <w:rFonts w:ascii="Times New Roman" w:hAnsi="Times New Roman" w:cs="Times New Roman"/>
          <w:noProof/>
          <w:kern w:val="0"/>
          <w:sz w:val="24"/>
          <w:szCs w:val="24"/>
        </w:rPr>
        <w:t xml:space="preserve">, pp. 1–25. </w:t>
      </w:r>
      <w:r w:rsidRPr="00756FFE">
        <w:rPr>
          <w:rFonts w:ascii="Times New Roman" w:hAnsi="Times New Roman" w:cs="Times New Roman"/>
          <w:noProof/>
          <w:kern w:val="0"/>
          <w:sz w:val="24"/>
          <w:szCs w:val="24"/>
          <w:lang w:val="fr-FR"/>
        </w:rPr>
        <w:t>Available at: https://doi.org/10.1002/9781118533024.ch1.</w:t>
      </w:r>
    </w:p>
    <w:p w14:paraId="361DC108"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756FFE">
        <w:rPr>
          <w:rFonts w:ascii="Times New Roman" w:hAnsi="Times New Roman" w:cs="Times New Roman"/>
          <w:noProof/>
          <w:kern w:val="0"/>
          <w:sz w:val="24"/>
          <w:szCs w:val="24"/>
          <w:lang w:val="fr-FR"/>
        </w:rPr>
        <w:t xml:space="preserve">Singh, N.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 xml:space="preserve">(2013) ‘Role of Green Tea on Cadmium Toxicity on Haematological Profile of Albino Rats’, </w:t>
      </w:r>
      <w:r w:rsidRPr="00F03936">
        <w:rPr>
          <w:rFonts w:ascii="Times New Roman" w:hAnsi="Times New Roman" w:cs="Times New Roman"/>
          <w:i/>
          <w:iCs/>
          <w:noProof/>
          <w:kern w:val="0"/>
          <w:sz w:val="24"/>
          <w:szCs w:val="24"/>
        </w:rPr>
        <w:t>American Journal of Phytomedicine and Clinical Therapeutics</w:t>
      </w:r>
      <w:r w:rsidRPr="00F03936">
        <w:rPr>
          <w:rFonts w:ascii="Times New Roman" w:hAnsi="Times New Roman" w:cs="Times New Roman"/>
          <w:noProof/>
          <w:kern w:val="0"/>
          <w:sz w:val="24"/>
          <w:szCs w:val="24"/>
        </w:rPr>
        <w:t>, 1(5), pp. 537–542.</w:t>
      </w:r>
    </w:p>
    <w:p w14:paraId="2E8310CC" w14:textId="77777777" w:rsidR="00F03936" w:rsidRPr="00756FFE"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lang w:val="fr-FR"/>
        </w:rPr>
      </w:pPr>
      <w:r w:rsidRPr="00F03936">
        <w:rPr>
          <w:rFonts w:ascii="Times New Roman" w:hAnsi="Times New Roman" w:cs="Times New Roman"/>
          <w:noProof/>
          <w:kern w:val="0"/>
          <w:sz w:val="24"/>
          <w:szCs w:val="24"/>
        </w:rPr>
        <w:t xml:space="preserve">Uçar, S. and Pandir, D. (2017) ‘Furan induced ovarian damage in non-diabetic and diabetic rats and cellular protective role of lycopene’, </w:t>
      </w:r>
      <w:r w:rsidRPr="00F03936">
        <w:rPr>
          <w:rFonts w:ascii="Times New Roman" w:hAnsi="Times New Roman" w:cs="Times New Roman"/>
          <w:i/>
          <w:iCs/>
          <w:noProof/>
          <w:kern w:val="0"/>
          <w:sz w:val="24"/>
          <w:szCs w:val="24"/>
        </w:rPr>
        <w:t>Archives of gynecology and obstetrics</w:t>
      </w:r>
      <w:r w:rsidRPr="00F03936">
        <w:rPr>
          <w:rFonts w:ascii="Times New Roman" w:hAnsi="Times New Roman" w:cs="Times New Roman"/>
          <w:noProof/>
          <w:kern w:val="0"/>
          <w:sz w:val="24"/>
          <w:szCs w:val="24"/>
        </w:rPr>
        <w:t xml:space="preserve">, 296, pp. 1027–1037. </w:t>
      </w:r>
      <w:r w:rsidRPr="00756FFE">
        <w:rPr>
          <w:rFonts w:ascii="Times New Roman" w:hAnsi="Times New Roman" w:cs="Times New Roman"/>
          <w:noProof/>
          <w:kern w:val="0"/>
          <w:sz w:val="24"/>
          <w:szCs w:val="24"/>
          <w:lang w:val="fr-FR"/>
        </w:rPr>
        <w:t>Available at: https://doi.org/10.1007/s00404-017-4521-7.</w:t>
      </w:r>
    </w:p>
    <w:p w14:paraId="7528211F" w14:textId="47D5A1F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kern w:val="0"/>
          <w:sz w:val="24"/>
          <w:szCs w:val="24"/>
        </w:rPr>
      </w:pPr>
      <w:r w:rsidRPr="00756FFE">
        <w:rPr>
          <w:rFonts w:ascii="Times New Roman" w:hAnsi="Times New Roman" w:cs="Times New Roman"/>
          <w:noProof/>
          <w:kern w:val="0"/>
          <w:sz w:val="24"/>
          <w:szCs w:val="24"/>
          <w:lang w:val="fr-FR"/>
        </w:rPr>
        <w:t xml:space="preserve">Uddin, M. J. </w:t>
      </w:r>
      <w:r w:rsidRPr="00756FFE">
        <w:rPr>
          <w:rFonts w:ascii="Times New Roman" w:hAnsi="Times New Roman" w:cs="Times New Roman"/>
          <w:i/>
          <w:iCs/>
          <w:noProof/>
          <w:kern w:val="0"/>
          <w:sz w:val="24"/>
          <w:szCs w:val="24"/>
          <w:lang w:val="fr-FR"/>
        </w:rPr>
        <w:t>et al.</w:t>
      </w:r>
      <w:r w:rsidRPr="00756FFE">
        <w:rPr>
          <w:rFonts w:ascii="Times New Roman" w:hAnsi="Times New Roman" w:cs="Times New Roman"/>
          <w:noProof/>
          <w:kern w:val="0"/>
          <w:sz w:val="24"/>
          <w:szCs w:val="24"/>
          <w:lang w:val="fr-FR"/>
        </w:rPr>
        <w:t xml:space="preserve"> </w:t>
      </w:r>
      <w:r w:rsidRPr="00F03936">
        <w:rPr>
          <w:rFonts w:ascii="Times New Roman" w:hAnsi="Times New Roman" w:cs="Times New Roman"/>
          <w:noProof/>
          <w:kern w:val="0"/>
          <w:sz w:val="24"/>
          <w:szCs w:val="24"/>
        </w:rPr>
        <w:t xml:space="preserve">(2021) ‘Pharmacotherapy against oxidative stress in chronic kidney disease: Promising small molecule natural products targeting nrf2-ho-1 signaling’, </w:t>
      </w:r>
      <w:r w:rsidRPr="00F03936">
        <w:rPr>
          <w:rFonts w:ascii="Times New Roman" w:hAnsi="Times New Roman" w:cs="Times New Roman"/>
          <w:i/>
          <w:iCs/>
          <w:noProof/>
          <w:kern w:val="0"/>
          <w:sz w:val="24"/>
          <w:szCs w:val="24"/>
        </w:rPr>
        <w:t>Antioxidants</w:t>
      </w:r>
      <w:r w:rsidRPr="00F03936">
        <w:rPr>
          <w:rFonts w:ascii="Times New Roman" w:hAnsi="Times New Roman" w:cs="Times New Roman"/>
          <w:noProof/>
          <w:kern w:val="0"/>
          <w:sz w:val="24"/>
          <w:szCs w:val="24"/>
        </w:rPr>
        <w:t>, 10(2), p. 258.</w:t>
      </w:r>
      <w:r w:rsidR="00814B7C" w:rsidRPr="00D017C8">
        <w:rPr>
          <w:rFonts w:ascii="Times New Roman" w:hAnsi="Times New Roman" w:cs="Times New Roman"/>
          <w:sz w:val="24"/>
          <w:szCs w:val="24"/>
        </w:rPr>
        <w:t xml:space="preserve"> </w:t>
      </w:r>
      <w:r w:rsidR="00814B7C" w:rsidRPr="00D017C8">
        <w:rPr>
          <w:rFonts w:ascii="Times New Roman" w:hAnsi="Times New Roman" w:cs="Times New Roman"/>
          <w:noProof/>
          <w:kern w:val="0"/>
          <w:sz w:val="24"/>
          <w:szCs w:val="24"/>
        </w:rPr>
        <w:t>https://doi.org/10.3390/antiox10020258</w:t>
      </w:r>
    </w:p>
    <w:p w14:paraId="1F8B9940" w14:textId="77777777" w:rsidR="00F03936" w:rsidRPr="00F03936" w:rsidRDefault="00F03936" w:rsidP="00814B7C">
      <w:pPr>
        <w:widowControl w:val="0"/>
        <w:autoSpaceDE w:val="0"/>
        <w:autoSpaceDN w:val="0"/>
        <w:bidi w:val="0"/>
        <w:adjustRightInd w:val="0"/>
        <w:spacing w:line="360" w:lineRule="auto"/>
        <w:jc w:val="both"/>
        <w:rPr>
          <w:rFonts w:ascii="Times New Roman" w:hAnsi="Times New Roman" w:cs="Times New Roman"/>
          <w:noProof/>
          <w:sz w:val="24"/>
        </w:rPr>
      </w:pPr>
      <w:r w:rsidRPr="00F03936">
        <w:rPr>
          <w:rFonts w:ascii="Times New Roman" w:hAnsi="Times New Roman" w:cs="Times New Roman"/>
          <w:noProof/>
          <w:kern w:val="0"/>
          <w:sz w:val="24"/>
          <w:szCs w:val="24"/>
        </w:rPr>
        <w:t xml:space="preserve">Zhang, H. and Reynolds, M. (2019) ‘Cadmium exposure in living organisms: A short review’, </w:t>
      </w:r>
      <w:r w:rsidRPr="00F03936">
        <w:rPr>
          <w:rFonts w:ascii="Times New Roman" w:hAnsi="Times New Roman" w:cs="Times New Roman"/>
          <w:i/>
          <w:iCs/>
          <w:noProof/>
          <w:kern w:val="0"/>
          <w:sz w:val="24"/>
          <w:szCs w:val="24"/>
        </w:rPr>
        <w:t>Science of the Total Environment</w:t>
      </w:r>
      <w:r w:rsidRPr="00F03936">
        <w:rPr>
          <w:rFonts w:ascii="Times New Roman" w:hAnsi="Times New Roman" w:cs="Times New Roman"/>
          <w:noProof/>
          <w:kern w:val="0"/>
          <w:sz w:val="24"/>
          <w:szCs w:val="24"/>
        </w:rPr>
        <w:t>, 678, pp. 761–767. Available at: https://doi.org/10.1016/j.scitotenv.2019.04.395.</w:t>
      </w:r>
    </w:p>
    <w:p w14:paraId="13B36479" w14:textId="606B9182" w:rsidR="006755FE" w:rsidRPr="006755FE" w:rsidRDefault="00D35765" w:rsidP="00814B7C">
      <w:pPr>
        <w:tabs>
          <w:tab w:val="right" w:pos="270"/>
        </w:tabs>
        <w:bidi w:val="0"/>
        <w:spacing w:line="360" w:lineRule="auto"/>
        <w:ind w:right="-64"/>
        <w:jc w:val="both"/>
        <w:rPr>
          <w:rFonts w:asciiTheme="majorBidi" w:hAnsiTheme="majorBidi" w:cstheme="majorBidi"/>
          <w:sz w:val="24"/>
          <w:szCs w:val="24"/>
          <w:rtl/>
        </w:rPr>
      </w:pPr>
      <w:r w:rsidRPr="00D017C8">
        <w:rPr>
          <w:rFonts w:ascii="Times New Roman" w:hAnsi="Times New Roman" w:cs="Times New Roman"/>
          <w:b/>
          <w:bCs/>
          <w:sz w:val="24"/>
          <w:szCs w:val="24"/>
        </w:rPr>
        <w:fldChar w:fldCharType="end"/>
      </w:r>
      <w:bookmarkEnd w:id="11"/>
    </w:p>
    <w:sectPr w:rsidR="006755FE" w:rsidRPr="006755FE" w:rsidSect="00BC2D3B">
      <w:pgSz w:w="11906" w:h="16838"/>
      <w:pgMar w:top="1690" w:right="913" w:bottom="1690" w:left="1134" w:header="709" w:footer="709" w:gutter="0"/>
      <w:lnNumType w:countBy="1" w:restart="continuou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645314"/>
    <w:multiLevelType w:val="hybridMultilevel"/>
    <w:tmpl w:val="BFA6E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11A15C6"/>
    <w:multiLevelType w:val="multilevel"/>
    <w:tmpl w:val="CD421A26"/>
    <w:lvl w:ilvl="0">
      <w:start w:val="1"/>
      <w:numFmt w:val="decimal"/>
      <w:lvlText w:val="%1."/>
      <w:lvlJc w:val="left"/>
      <w:pPr>
        <w:ind w:left="45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610" w:hanging="1800"/>
      </w:pPr>
      <w:rPr>
        <w:rFonts w:hint="default"/>
      </w:rPr>
    </w:lvl>
  </w:abstractNum>
  <w:abstractNum w:abstractNumId="2" w15:restartNumberingAfterBreak="0">
    <w:nsid w:val="6BEF7FB8"/>
    <w:multiLevelType w:val="multilevel"/>
    <w:tmpl w:val="EFA4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528231">
    <w:abstractNumId w:val="1"/>
  </w:num>
  <w:num w:numId="2" w16cid:durableId="293602899">
    <w:abstractNumId w:val="0"/>
  </w:num>
  <w:num w:numId="3" w16cid:durableId="18506338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wN7cwMjc3MDK2NDNV0lEKTi0uzszPAykwrgUArCe8gSwAAAA="/>
  </w:docVars>
  <w:rsids>
    <w:rsidRoot w:val="00833D11"/>
    <w:rsid w:val="00000709"/>
    <w:rsid w:val="000139E2"/>
    <w:rsid w:val="00037CDA"/>
    <w:rsid w:val="00042706"/>
    <w:rsid w:val="0004685C"/>
    <w:rsid w:val="00085257"/>
    <w:rsid w:val="00085475"/>
    <w:rsid w:val="000A5BBF"/>
    <w:rsid w:val="000C214B"/>
    <w:rsid w:val="000D4AC7"/>
    <w:rsid w:val="000E1B2B"/>
    <w:rsid w:val="00114B87"/>
    <w:rsid w:val="00123D1A"/>
    <w:rsid w:val="00155E46"/>
    <w:rsid w:val="001939CD"/>
    <w:rsid w:val="001A6276"/>
    <w:rsid w:val="001B0237"/>
    <w:rsid w:val="00226945"/>
    <w:rsid w:val="00240352"/>
    <w:rsid w:val="00253CA4"/>
    <w:rsid w:val="00271521"/>
    <w:rsid w:val="002874DC"/>
    <w:rsid w:val="002A5DE1"/>
    <w:rsid w:val="002D74BB"/>
    <w:rsid w:val="0030296A"/>
    <w:rsid w:val="003126EA"/>
    <w:rsid w:val="0038723F"/>
    <w:rsid w:val="003C5FFA"/>
    <w:rsid w:val="00422F1A"/>
    <w:rsid w:val="00463A08"/>
    <w:rsid w:val="004703E0"/>
    <w:rsid w:val="00475AEE"/>
    <w:rsid w:val="004D13F0"/>
    <w:rsid w:val="004D2910"/>
    <w:rsid w:val="004E58C9"/>
    <w:rsid w:val="00503065"/>
    <w:rsid w:val="005044CF"/>
    <w:rsid w:val="00530915"/>
    <w:rsid w:val="00544761"/>
    <w:rsid w:val="00583234"/>
    <w:rsid w:val="005B260B"/>
    <w:rsid w:val="005C47EF"/>
    <w:rsid w:val="005D1C80"/>
    <w:rsid w:val="005F0947"/>
    <w:rsid w:val="006205F6"/>
    <w:rsid w:val="006755FE"/>
    <w:rsid w:val="006900AF"/>
    <w:rsid w:val="006A5788"/>
    <w:rsid w:val="006D5732"/>
    <w:rsid w:val="006D6161"/>
    <w:rsid w:val="006F0D03"/>
    <w:rsid w:val="00725942"/>
    <w:rsid w:val="00734213"/>
    <w:rsid w:val="0074264E"/>
    <w:rsid w:val="00743CAD"/>
    <w:rsid w:val="00744E07"/>
    <w:rsid w:val="00756FFE"/>
    <w:rsid w:val="00772656"/>
    <w:rsid w:val="00794161"/>
    <w:rsid w:val="007A15D7"/>
    <w:rsid w:val="007C28BE"/>
    <w:rsid w:val="00802DE1"/>
    <w:rsid w:val="00814B7C"/>
    <w:rsid w:val="00821D7F"/>
    <w:rsid w:val="00833D11"/>
    <w:rsid w:val="0084622D"/>
    <w:rsid w:val="00851F00"/>
    <w:rsid w:val="00865DB4"/>
    <w:rsid w:val="008725B0"/>
    <w:rsid w:val="008766D4"/>
    <w:rsid w:val="00877057"/>
    <w:rsid w:val="008809A5"/>
    <w:rsid w:val="008A0222"/>
    <w:rsid w:val="008E2092"/>
    <w:rsid w:val="009002C8"/>
    <w:rsid w:val="00956781"/>
    <w:rsid w:val="00966110"/>
    <w:rsid w:val="0099392E"/>
    <w:rsid w:val="009B13DD"/>
    <w:rsid w:val="009C65EC"/>
    <w:rsid w:val="009E1AA2"/>
    <w:rsid w:val="00A03CD2"/>
    <w:rsid w:val="00A24ECD"/>
    <w:rsid w:val="00A534EB"/>
    <w:rsid w:val="00A623B9"/>
    <w:rsid w:val="00A75B66"/>
    <w:rsid w:val="00A9680E"/>
    <w:rsid w:val="00AC18E4"/>
    <w:rsid w:val="00AC6AD6"/>
    <w:rsid w:val="00AE48B5"/>
    <w:rsid w:val="00B05467"/>
    <w:rsid w:val="00B05DA0"/>
    <w:rsid w:val="00B44A8C"/>
    <w:rsid w:val="00B45133"/>
    <w:rsid w:val="00B475C9"/>
    <w:rsid w:val="00B64058"/>
    <w:rsid w:val="00BA46BE"/>
    <w:rsid w:val="00BC2D3B"/>
    <w:rsid w:val="00C0340E"/>
    <w:rsid w:val="00C04CB2"/>
    <w:rsid w:val="00C11EF0"/>
    <w:rsid w:val="00C338C1"/>
    <w:rsid w:val="00C35DBF"/>
    <w:rsid w:val="00C40FE0"/>
    <w:rsid w:val="00C53333"/>
    <w:rsid w:val="00C563D4"/>
    <w:rsid w:val="00C603E9"/>
    <w:rsid w:val="00C75751"/>
    <w:rsid w:val="00C766F9"/>
    <w:rsid w:val="00C779F4"/>
    <w:rsid w:val="00C80D67"/>
    <w:rsid w:val="00C82434"/>
    <w:rsid w:val="00C96519"/>
    <w:rsid w:val="00CB39BD"/>
    <w:rsid w:val="00D017C8"/>
    <w:rsid w:val="00D07D6A"/>
    <w:rsid w:val="00D14093"/>
    <w:rsid w:val="00D25B74"/>
    <w:rsid w:val="00D35401"/>
    <w:rsid w:val="00D35765"/>
    <w:rsid w:val="00D54097"/>
    <w:rsid w:val="00D67FBD"/>
    <w:rsid w:val="00DA13E3"/>
    <w:rsid w:val="00DE4104"/>
    <w:rsid w:val="00E045E0"/>
    <w:rsid w:val="00E61ADB"/>
    <w:rsid w:val="00E66E78"/>
    <w:rsid w:val="00E93062"/>
    <w:rsid w:val="00EC4CBB"/>
    <w:rsid w:val="00EC4ED2"/>
    <w:rsid w:val="00ED1D44"/>
    <w:rsid w:val="00ED1F48"/>
    <w:rsid w:val="00ED2492"/>
    <w:rsid w:val="00EE1D6E"/>
    <w:rsid w:val="00F0070D"/>
    <w:rsid w:val="00F03936"/>
    <w:rsid w:val="00F073C3"/>
    <w:rsid w:val="00F108F2"/>
    <w:rsid w:val="00F14ED9"/>
    <w:rsid w:val="00F44455"/>
    <w:rsid w:val="00F50C90"/>
    <w:rsid w:val="00F5463E"/>
    <w:rsid w:val="00F572D1"/>
    <w:rsid w:val="00F57705"/>
    <w:rsid w:val="00F85B0B"/>
    <w:rsid w:val="00FA5504"/>
    <w:rsid w:val="00FC19EC"/>
    <w:rsid w:val="00FF33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25C6C"/>
  <w15:chartTrackingRefBased/>
  <w15:docId w15:val="{DC1FF84F-8E1F-442B-BFB6-B9CD1C8DB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5F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5FE"/>
    <w:pPr>
      <w:ind w:left="720"/>
      <w:contextualSpacing/>
    </w:pPr>
  </w:style>
  <w:style w:type="paragraph" w:customStyle="1" w:styleId="pf0">
    <w:name w:val="pf0"/>
    <w:basedOn w:val="Normal"/>
    <w:rsid w:val="006755FE"/>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6755FE"/>
    <w:rPr>
      <w:rFonts w:ascii="Segoe UI" w:hAnsi="Segoe UI" w:cs="Segoe UI" w:hint="default"/>
      <w:sz w:val="18"/>
      <w:szCs w:val="18"/>
    </w:rPr>
  </w:style>
  <w:style w:type="character" w:styleId="LineNumber">
    <w:name w:val="line number"/>
    <w:basedOn w:val="DefaultParagraphFont"/>
    <w:uiPriority w:val="99"/>
    <w:semiHidden/>
    <w:unhideWhenUsed/>
    <w:rsid w:val="00BC2D3B"/>
  </w:style>
  <w:style w:type="character" w:styleId="Hyperlink">
    <w:name w:val="Hyperlink"/>
    <w:basedOn w:val="DefaultParagraphFont"/>
    <w:uiPriority w:val="99"/>
    <w:unhideWhenUsed/>
    <w:rsid w:val="00BA46BE"/>
    <w:rPr>
      <w:color w:val="0000FF"/>
      <w:u w:val="single"/>
    </w:rPr>
  </w:style>
  <w:style w:type="paragraph" w:styleId="NoSpacing">
    <w:name w:val="No Spacing"/>
    <w:uiPriority w:val="1"/>
    <w:qFormat/>
    <w:rsid w:val="00821D7F"/>
    <w:pPr>
      <w:bidi/>
      <w:spacing w:after="0" w:line="240" w:lineRule="auto"/>
    </w:pPr>
  </w:style>
  <w:style w:type="character" w:styleId="CommentReference">
    <w:name w:val="annotation reference"/>
    <w:basedOn w:val="DefaultParagraphFont"/>
    <w:uiPriority w:val="99"/>
    <w:semiHidden/>
    <w:unhideWhenUsed/>
    <w:rsid w:val="00240352"/>
    <w:rPr>
      <w:sz w:val="16"/>
      <w:szCs w:val="16"/>
    </w:rPr>
  </w:style>
  <w:style w:type="paragraph" w:styleId="CommentText">
    <w:name w:val="annotation text"/>
    <w:basedOn w:val="Normal"/>
    <w:link w:val="CommentTextChar"/>
    <w:uiPriority w:val="99"/>
    <w:unhideWhenUsed/>
    <w:rsid w:val="00240352"/>
    <w:pPr>
      <w:spacing w:line="240" w:lineRule="auto"/>
    </w:pPr>
    <w:rPr>
      <w:sz w:val="20"/>
      <w:szCs w:val="20"/>
    </w:rPr>
  </w:style>
  <w:style w:type="character" w:customStyle="1" w:styleId="CommentTextChar">
    <w:name w:val="Comment Text Char"/>
    <w:basedOn w:val="DefaultParagraphFont"/>
    <w:link w:val="CommentText"/>
    <w:uiPriority w:val="99"/>
    <w:rsid w:val="00240352"/>
    <w:rPr>
      <w:sz w:val="20"/>
      <w:szCs w:val="20"/>
    </w:rPr>
  </w:style>
  <w:style w:type="paragraph" w:styleId="CommentSubject">
    <w:name w:val="annotation subject"/>
    <w:basedOn w:val="CommentText"/>
    <w:next w:val="CommentText"/>
    <w:link w:val="CommentSubjectChar"/>
    <w:uiPriority w:val="99"/>
    <w:semiHidden/>
    <w:unhideWhenUsed/>
    <w:rsid w:val="00240352"/>
    <w:rPr>
      <w:b/>
      <w:bCs/>
    </w:rPr>
  </w:style>
  <w:style w:type="character" w:customStyle="1" w:styleId="CommentSubjectChar">
    <w:name w:val="Comment Subject Char"/>
    <w:basedOn w:val="CommentTextChar"/>
    <w:link w:val="CommentSubject"/>
    <w:uiPriority w:val="99"/>
    <w:semiHidden/>
    <w:rsid w:val="00240352"/>
    <w:rPr>
      <w:b/>
      <w:bCs/>
      <w:sz w:val="20"/>
      <w:szCs w:val="20"/>
    </w:rPr>
  </w:style>
  <w:style w:type="character" w:styleId="UnresolvedMention">
    <w:name w:val="Unresolved Mention"/>
    <w:basedOn w:val="DefaultParagraphFont"/>
    <w:uiPriority w:val="99"/>
    <w:semiHidden/>
    <w:unhideWhenUsed/>
    <w:rsid w:val="00C11E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73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BILA.SALAM@fvtm.bu.edu.eg;(EL)" TargetMode="External"/><Relationship Id="rId13" Type="http://schemas.openxmlformats.org/officeDocument/2006/relationships/hyperlink" Target="mailto:ahmed.abdeen@fvtm.bu.edu.eg" TargetMode="Externa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mailto:RAGAB.ALSHAWARIBY@fvtm.bu.edu.eg" TargetMode="External"/><Relationship Id="rId12" Type="http://schemas.openxmlformats.org/officeDocument/2006/relationships/hyperlink" Target="mailto:ahmedzaid@liver.menofia.edu.eg"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Shrouk.azat@fvtm.bu.edu.eg;%20(RE)" TargetMode="External"/><Relationship Id="rId11" Type="http://schemas.openxmlformats.org/officeDocument/2006/relationships/hyperlink" Target="mailto:afaf.abdelkader@fmed.bu.edu.eg"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ahmed.abdeen@fvtm.bu.edu.e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LHAM.ALSHIWY@fvtm.bu.edu.eg" TargetMode="External"/><Relationship Id="rId14"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7C87A-6DA7-44EF-9A7C-4D68DA703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21</Pages>
  <Words>20951</Words>
  <Characters>119422</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Shrouk.azat@fvtm.bu.edu.eg</dc:creator>
  <cp:keywords/>
  <dc:description/>
  <cp:lastModifiedBy>Shrouk.azat@fvtm.bu.edu.eg</cp:lastModifiedBy>
  <cp:revision>65</cp:revision>
  <dcterms:created xsi:type="dcterms:W3CDTF">2023-12-03T12:08:00Z</dcterms:created>
  <dcterms:modified xsi:type="dcterms:W3CDTF">2023-12-14T22:15:00Z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http://www.zotero.org/styles/biomedicine-and-pharmacotherapy</vt:lpwstr>
  </property>
  <property fmtid="{D5CDD505-2E9C-101B-9397-08002B2CF9AE}" pid="5" name="Mendeley Recent Style Name 1_1">
    <vt:lpwstr>Biomedicine &amp; Pharmacotherapy</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http://www.zotero.org/styles/toxicology-and-applied-pharmacology</vt:lpwstr>
  </property>
  <property fmtid="{D5CDD505-2E9C-101B-9397-08002B2CF9AE}" pid="21" name="Mendeley Recent Style Name 9_1">
    <vt:lpwstr>Toxicology and Applied Pharmacology</vt:lpwstr>
  </property>
  <property fmtid="{D5CDD505-2E9C-101B-9397-08002B2CF9AE}" pid="22" name="Mendeley Document_1">
    <vt:lpwstr>True</vt:lpwstr>
  </property>
  <property fmtid="{D5CDD505-2E9C-101B-9397-08002B2CF9AE}" pid="23" name="Mendeley Unique User Id_1">
    <vt:lpwstr>36ee8f6e-4a56-371f-bd2e-b600d8b9f110</vt:lpwstr>
  </property>
  <property fmtid="{D5CDD505-2E9C-101B-9397-08002B2CF9AE}" pid="24" name="Mendeley Citation Style_1">
    <vt:lpwstr>http://www.zotero.org/styles/harvard1</vt:lpwstr>
  </property>
</Properties>
</file>